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FB197" w14:textId="77777777" w:rsidR="00794B88" w:rsidRDefault="00794B88" w:rsidP="00794B88">
      <w:pPr>
        <w:jc w:val="center"/>
        <w:rPr>
          <w:rFonts w:ascii="Arial" w:hAnsi="Arial" w:cs="Arial"/>
          <w:b/>
          <w:i/>
          <w:sz w:val="24"/>
        </w:rPr>
      </w:pPr>
      <w:r w:rsidRPr="00794B88">
        <w:rPr>
          <w:rFonts w:ascii="Arial" w:hAnsi="Arial" w:cs="Arial"/>
          <w:b/>
          <w:sz w:val="24"/>
        </w:rPr>
        <w:t xml:space="preserve">Projekt rozporządzenia Ministra Infrastruktury </w:t>
      </w:r>
      <w:r w:rsidRPr="00794B88">
        <w:rPr>
          <w:rFonts w:ascii="Arial" w:hAnsi="Arial" w:cs="Arial"/>
          <w:b/>
          <w:i/>
          <w:sz w:val="24"/>
        </w:rPr>
        <w:t>w sprawie warunków technicznych, jakim powinny odpowiadać skrzyżowania linii kolejowych oraz bocznic z drogami i ich usytuowanie</w:t>
      </w:r>
    </w:p>
    <w:p w14:paraId="5F5F86B9" w14:textId="352A80B2" w:rsidR="000B1828" w:rsidRPr="0029715B" w:rsidRDefault="000B1828" w:rsidP="00794B88">
      <w:pPr>
        <w:jc w:val="center"/>
        <w:rPr>
          <w:rFonts w:ascii="Arial" w:hAnsi="Arial" w:cs="Arial"/>
          <w:b/>
          <w:iCs/>
          <w:sz w:val="24"/>
        </w:rPr>
      </w:pPr>
      <w:r w:rsidRPr="000B1828">
        <w:rPr>
          <w:rFonts w:ascii="Arial" w:hAnsi="Arial" w:cs="Arial"/>
          <w:bCs/>
          <w:iCs/>
          <w:sz w:val="24"/>
        </w:rPr>
        <w:t xml:space="preserve">Uwagi Forum Kolejowego </w:t>
      </w:r>
      <w:r w:rsidRPr="0029715B">
        <w:rPr>
          <w:rFonts w:ascii="Arial" w:hAnsi="Arial" w:cs="Arial"/>
          <w:b/>
          <w:iCs/>
          <w:sz w:val="24"/>
        </w:rPr>
        <w:t>RBF</w:t>
      </w:r>
      <w:r w:rsidRPr="000B1828">
        <w:rPr>
          <w:rFonts w:ascii="Arial" w:hAnsi="Arial" w:cs="Arial"/>
          <w:bCs/>
          <w:iCs/>
          <w:sz w:val="24"/>
        </w:rPr>
        <w:t xml:space="preserve"> do wersji z dnia </w:t>
      </w:r>
      <w:r w:rsidRPr="0029715B">
        <w:rPr>
          <w:rFonts w:ascii="Arial" w:hAnsi="Arial" w:cs="Arial"/>
          <w:b/>
          <w:iCs/>
          <w:sz w:val="24"/>
        </w:rPr>
        <w:t>29.08.2024</w:t>
      </w:r>
    </w:p>
    <w:p w14:paraId="5F3CAAFF" w14:textId="77777777" w:rsidR="00794B88" w:rsidRDefault="00794B8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1829"/>
        <w:gridCol w:w="5973"/>
        <w:gridCol w:w="4321"/>
        <w:gridCol w:w="2689"/>
      </w:tblGrid>
      <w:tr w:rsidR="0016208E" w:rsidRPr="00794B88" w14:paraId="3CB8175D" w14:textId="77777777" w:rsidTr="00617119">
        <w:trPr>
          <w:trHeight w:val="851"/>
        </w:trPr>
        <w:tc>
          <w:tcPr>
            <w:tcW w:w="576" w:type="dxa"/>
            <w:vAlign w:val="center"/>
          </w:tcPr>
          <w:p w14:paraId="3578DADE" w14:textId="77777777" w:rsidR="0016208E" w:rsidRPr="00794B88" w:rsidRDefault="0016208E" w:rsidP="00794B8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94B88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829" w:type="dxa"/>
            <w:vAlign w:val="center"/>
          </w:tcPr>
          <w:p w14:paraId="78715581" w14:textId="77777777" w:rsidR="0016208E" w:rsidRPr="00794B88" w:rsidRDefault="0016208E" w:rsidP="0016208E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Jednostka redakcyjna</w:t>
            </w:r>
          </w:p>
        </w:tc>
        <w:tc>
          <w:tcPr>
            <w:tcW w:w="5973" w:type="dxa"/>
            <w:vAlign w:val="center"/>
          </w:tcPr>
          <w:p w14:paraId="2EEA346B" w14:textId="77777777" w:rsidR="0016208E" w:rsidRPr="00794B88" w:rsidRDefault="0016208E" w:rsidP="0016208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94B88">
              <w:rPr>
                <w:rFonts w:ascii="Arial" w:hAnsi="Arial" w:cs="Arial"/>
                <w:b/>
                <w:sz w:val="24"/>
              </w:rPr>
              <w:t xml:space="preserve">Treść uwagi </w:t>
            </w:r>
            <w:r>
              <w:rPr>
                <w:rFonts w:ascii="Arial" w:hAnsi="Arial" w:cs="Arial"/>
                <w:b/>
                <w:sz w:val="24"/>
              </w:rPr>
              <w:t>lub propozycja zmiany przepisu</w:t>
            </w:r>
          </w:p>
        </w:tc>
        <w:tc>
          <w:tcPr>
            <w:tcW w:w="4321" w:type="dxa"/>
            <w:vAlign w:val="center"/>
          </w:tcPr>
          <w:p w14:paraId="69E9BEC4" w14:textId="77777777" w:rsidR="0016208E" w:rsidRPr="00794B88" w:rsidRDefault="0016208E" w:rsidP="00794B8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Uzasadnienie</w:t>
            </w:r>
          </w:p>
        </w:tc>
        <w:tc>
          <w:tcPr>
            <w:tcW w:w="2689" w:type="dxa"/>
            <w:vAlign w:val="center"/>
          </w:tcPr>
          <w:p w14:paraId="4748537F" w14:textId="77777777" w:rsidR="0016208E" w:rsidRPr="00794B88" w:rsidRDefault="0016208E" w:rsidP="00794B8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94B88">
              <w:rPr>
                <w:rFonts w:ascii="Arial" w:hAnsi="Arial" w:cs="Arial"/>
                <w:b/>
                <w:sz w:val="24"/>
              </w:rPr>
              <w:t>Szacunkowy koszt wdrożenia</w:t>
            </w:r>
            <w:r>
              <w:rPr>
                <w:rFonts w:ascii="Arial" w:hAnsi="Arial" w:cs="Arial"/>
                <w:b/>
                <w:sz w:val="24"/>
              </w:rPr>
              <w:t xml:space="preserve"> do ujęcia</w:t>
            </w:r>
            <w:r>
              <w:rPr>
                <w:rFonts w:ascii="Arial" w:hAnsi="Arial" w:cs="Arial"/>
                <w:b/>
                <w:sz w:val="24"/>
              </w:rPr>
              <w:br/>
              <w:t>w OSR</w:t>
            </w:r>
          </w:p>
        </w:tc>
      </w:tr>
      <w:tr w:rsidR="0016208E" w14:paraId="55D57684" w14:textId="77777777" w:rsidTr="00617119">
        <w:trPr>
          <w:trHeight w:val="851"/>
        </w:trPr>
        <w:tc>
          <w:tcPr>
            <w:tcW w:w="576" w:type="dxa"/>
          </w:tcPr>
          <w:p w14:paraId="1AB3DC36" w14:textId="77777777" w:rsidR="0016208E" w:rsidRDefault="000855CC" w:rsidP="000855CC">
            <w:pPr>
              <w:spacing w:before="240"/>
              <w:jc w:val="center"/>
            </w:pPr>
            <w:r>
              <w:t>1</w:t>
            </w:r>
          </w:p>
          <w:p w14:paraId="7D6517A8" w14:textId="4C335010" w:rsidR="000855CC" w:rsidRDefault="000855CC" w:rsidP="000855CC">
            <w:pPr>
              <w:spacing w:before="240"/>
              <w:jc w:val="center"/>
            </w:pPr>
          </w:p>
        </w:tc>
        <w:tc>
          <w:tcPr>
            <w:tcW w:w="1829" w:type="dxa"/>
          </w:tcPr>
          <w:p w14:paraId="2A49962C" w14:textId="0F51BB16" w:rsidR="0016208E" w:rsidRDefault="00F44F60" w:rsidP="000855CC">
            <w:pPr>
              <w:spacing w:before="240"/>
            </w:pPr>
            <w:r>
              <w:t xml:space="preserve">§2 ust. 2 pkt. 3) </w:t>
            </w:r>
          </w:p>
        </w:tc>
        <w:tc>
          <w:tcPr>
            <w:tcW w:w="5973" w:type="dxa"/>
          </w:tcPr>
          <w:p w14:paraId="5B513CE6" w14:textId="27B73DD9" w:rsidR="00CA75D8" w:rsidRDefault="008D074E" w:rsidP="00CA75D8">
            <w:r>
              <w:t>Proponowany zapis</w:t>
            </w:r>
            <w:r w:rsidR="00CA75D8">
              <w:t xml:space="preserve"> pkt:</w:t>
            </w:r>
            <w:r w:rsidR="00DF4502">
              <w:t xml:space="preserve"> </w:t>
            </w:r>
          </w:p>
          <w:p w14:paraId="6412DF7D" w14:textId="2A50080A" w:rsidR="00DC295F" w:rsidRPr="004223A0" w:rsidRDefault="00DC295F" w:rsidP="00CA75D8">
            <w:pPr>
              <w:rPr>
                <w:b/>
                <w:bCs/>
              </w:rPr>
            </w:pPr>
            <w:r w:rsidRPr="004223A0">
              <w:rPr>
                <w:b/>
                <w:bCs/>
              </w:rPr>
              <w:t>3) z liniami tramwajowymi</w:t>
            </w:r>
            <w:r w:rsidR="0012152D" w:rsidRPr="004223A0">
              <w:rPr>
                <w:b/>
                <w:bCs/>
              </w:rPr>
              <w:t xml:space="preserve">, w zakresie </w:t>
            </w:r>
            <w:r w:rsidR="004223A0" w:rsidRPr="004223A0">
              <w:rPr>
                <w:b/>
                <w:bCs/>
              </w:rPr>
              <w:t xml:space="preserve">w jakim jest to </w:t>
            </w:r>
            <w:r w:rsidR="00C50512">
              <w:rPr>
                <w:b/>
                <w:bCs/>
              </w:rPr>
              <w:t xml:space="preserve">odrębnie </w:t>
            </w:r>
            <w:r w:rsidR="004223A0" w:rsidRPr="004223A0">
              <w:rPr>
                <w:b/>
                <w:bCs/>
              </w:rPr>
              <w:t xml:space="preserve">uregulowane w Rozporządzeniu .... </w:t>
            </w:r>
            <w:r w:rsidRPr="004223A0">
              <w:rPr>
                <w:b/>
                <w:bCs/>
              </w:rPr>
              <w:t xml:space="preserve"> </w:t>
            </w:r>
          </w:p>
        </w:tc>
        <w:tc>
          <w:tcPr>
            <w:tcW w:w="4321" w:type="dxa"/>
          </w:tcPr>
          <w:p w14:paraId="43149F84" w14:textId="3BCC8234" w:rsidR="0016208E" w:rsidRDefault="00CA75D8" w:rsidP="000855CC">
            <w:pPr>
              <w:spacing w:before="240"/>
            </w:pPr>
            <w:r>
              <w:t>W tym pkt. wyłącza się stosowanie opiniowanego Rozporządzenia do linii tramwajowych. Tymczasem ostatnia wersja procedowanego Rozporządzenia dotyczącego linii tramwajowych generalnie odwołuje się do Rozporządzenia dotyczącego skrzyżowań z drogami i określa jedynie wyjątki lub szczególne regulacje.</w:t>
            </w:r>
          </w:p>
        </w:tc>
        <w:tc>
          <w:tcPr>
            <w:tcW w:w="2689" w:type="dxa"/>
          </w:tcPr>
          <w:p w14:paraId="09387462" w14:textId="77777777" w:rsidR="0016208E" w:rsidRDefault="0016208E" w:rsidP="000855CC">
            <w:pPr>
              <w:spacing w:before="240"/>
            </w:pPr>
          </w:p>
        </w:tc>
      </w:tr>
      <w:tr w:rsidR="00617119" w14:paraId="67E79710" w14:textId="77777777" w:rsidTr="00617119">
        <w:trPr>
          <w:trHeight w:val="851"/>
        </w:trPr>
        <w:tc>
          <w:tcPr>
            <w:tcW w:w="576" w:type="dxa"/>
          </w:tcPr>
          <w:p w14:paraId="79309884" w14:textId="11A4C3EA" w:rsidR="00617119" w:rsidRDefault="00617119" w:rsidP="000855CC">
            <w:pPr>
              <w:spacing w:before="240"/>
              <w:jc w:val="center"/>
            </w:pPr>
            <w:r>
              <w:t>2</w:t>
            </w:r>
          </w:p>
        </w:tc>
        <w:tc>
          <w:tcPr>
            <w:tcW w:w="1829" w:type="dxa"/>
          </w:tcPr>
          <w:p w14:paraId="5857F5BD" w14:textId="78FCAD50" w:rsidR="00617119" w:rsidRDefault="00617119" w:rsidP="000855CC">
            <w:pPr>
              <w:spacing w:before="240"/>
            </w:pPr>
            <w:r>
              <w:t>§3 pkt. 14</w:t>
            </w:r>
          </w:p>
        </w:tc>
        <w:tc>
          <w:tcPr>
            <w:tcW w:w="5973" w:type="dxa"/>
          </w:tcPr>
          <w:p w14:paraId="1091D6F1" w14:textId="344C4994" w:rsidR="00617119" w:rsidRDefault="00617119" w:rsidP="001D4ACB">
            <w:pPr>
              <w:spacing w:before="240"/>
            </w:pPr>
            <w:r>
              <w:t xml:space="preserve">Wydane na podstawię art. 7 ust. 2 </w:t>
            </w:r>
            <w:r w:rsidR="00612C34">
              <w:t xml:space="preserve">Prawa o ruchu drogowym </w:t>
            </w:r>
            <w:r>
              <w:t>(</w:t>
            </w:r>
            <w:r w:rsidR="00612C34">
              <w:t xml:space="preserve">ust. 2 - </w:t>
            </w:r>
            <w:r>
              <w:t xml:space="preserve">uchylonego w 2022) </w:t>
            </w:r>
            <w:r w:rsidRPr="00C1720B">
              <w:rPr>
                <w:b/>
                <w:bCs/>
              </w:rPr>
              <w:t>ROZPORZĄDZENIE MINISTRÓW INFRASTRUKTURY ORAZ SPRAW WEWNĘTRZNYCH I ADMINISTRACJI z dnia 31 lipca 2002 r. w sprawie znaków i sygnałów drogowych</w:t>
            </w:r>
            <w:r>
              <w:t xml:space="preserve"> w obecnej wersji pomija kwestię sygnalizacji świetlnej na przejazdach kolejowych, trudno znaleźć przepis wskazujący znaczenie świateł migających podawanych na przejazdach kolejowo -drogowych i wzór sygnału z 1 lub 2 komorami światła czerwonego. Są tylko typowe sygnalizatory stosowane na skrzyżowaniach itp. Tymczasem te </w:t>
            </w:r>
            <w:r w:rsidR="00201640">
              <w:t xml:space="preserve">właśnie </w:t>
            </w:r>
            <w:r>
              <w:t>prz</w:t>
            </w:r>
            <w:r w:rsidR="00201640">
              <w:t>e</w:t>
            </w:r>
            <w:r>
              <w:t xml:space="preserve">pisy są przedmiotem szkoleń itp. </w:t>
            </w:r>
          </w:p>
          <w:p w14:paraId="45EF9F36" w14:textId="6B9E0317" w:rsidR="00617119" w:rsidRDefault="00617119" w:rsidP="00627F48">
            <w:pPr>
              <w:spacing w:before="240"/>
            </w:pPr>
            <w:r>
              <w:t>Wydane na podstawie art. 7 ust. 3 (</w:t>
            </w:r>
            <w:r w:rsidR="00201640">
              <w:t xml:space="preserve">ust. 3 </w:t>
            </w:r>
            <w:r>
              <w:t xml:space="preserve">także uchylonego w 2022) </w:t>
            </w:r>
            <w:r w:rsidRPr="00C22A86">
              <w:rPr>
                <w:b/>
                <w:bCs/>
              </w:rPr>
              <w:t xml:space="preserve">ROZPORZĄDZENIE MINISTRA INFRASTRUKTURY z dnia 3 lipca 2003 r. w sprawie szczegółowych warunków technicznych dla znaków i sygnałów drogowych oraz urządzeń bezpieczeństwa ruchu drogowego i warunków ich </w:t>
            </w:r>
            <w:r w:rsidRPr="00C22A86">
              <w:rPr>
                <w:b/>
                <w:bCs/>
              </w:rPr>
              <w:lastRenderedPageBreak/>
              <w:t>umieszczania na drogach</w:t>
            </w:r>
            <w:r>
              <w:rPr>
                <w:b/>
                <w:bCs/>
              </w:rPr>
              <w:t xml:space="preserve"> </w:t>
            </w:r>
            <w:r>
              <w:t xml:space="preserve">jest jak się zdaje jedynym przepisem w randze Rozporządzenia (obowiązującym wszystkie podmioty, ale adresowanym raczej do zarządców dróg </w:t>
            </w:r>
            <w:r w:rsidR="003D68F2">
              <w:t xml:space="preserve">– zwiera szereg regulacji zbędnych dla kierujących - </w:t>
            </w:r>
            <w:r>
              <w:t xml:space="preserve">niż do kierujących pojazdami) dotyczącym sygnalizacji świetlnej na przejazdach kolejowo-drogowych. </w:t>
            </w:r>
          </w:p>
          <w:p w14:paraId="3BB7A5F0" w14:textId="77777777" w:rsidR="009D511E" w:rsidRDefault="009D511E" w:rsidP="009D511E"/>
          <w:p w14:paraId="417B422E" w14:textId="7C098DD9" w:rsidR="00617119" w:rsidRDefault="000E3565" w:rsidP="009D511E">
            <w:r>
              <w:t xml:space="preserve">Wskazane jest zsynchronizowanie z aktami wykonawczymi do prawa o ruchu drogowym, poprzez nowelizację Rozporządzenia </w:t>
            </w:r>
            <w:r w:rsidR="00157BE1">
              <w:t>dotyczącego znaków</w:t>
            </w:r>
            <w:r>
              <w:t xml:space="preserve"> i sygnałów drogowych</w:t>
            </w:r>
            <w:r w:rsidR="009E176F">
              <w:t xml:space="preserve"> – adresowanego do kierujących</w:t>
            </w:r>
            <w:r>
              <w:t xml:space="preserve">. Poza tym </w:t>
            </w:r>
            <w:r w:rsidR="00157BE1">
              <w:t>tytuły i zakres Rozporządzeń należy dostosować do ust. 3a. Prawa o ruchu drogowym.</w:t>
            </w:r>
          </w:p>
        </w:tc>
        <w:tc>
          <w:tcPr>
            <w:tcW w:w="4321" w:type="dxa"/>
          </w:tcPr>
          <w:p w14:paraId="30A6B57B" w14:textId="77777777" w:rsidR="00617119" w:rsidRDefault="00617119" w:rsidP="000855CC">
            <w:pPr>
              <w:spacing w:before="240"/>
            </w:pPr>
          </w:p>
        </w:tc>
        <w:tc>
          <w:tcPr>
            <w:tcW w:w="2689" w:type="dxa"/>
          </w:tcPr>
          <w:p w14:paraId="068CF033" w14:textId="77777777" w:rsidR="00617119" w:rsidRDefault="00617119" w:rsidP="000855CC">
            <w:pPr>
              <w:spacing w:before="240"/>
            </w:pPr>
          </w:p>
        </w:tc>
      </w:tr>
      <w:tr w:rsidR="007E64F8" w14:paraId="478A58F3" w14:textId="77777777" w:rsidTr="00617119">
        <w:trPr>
          <w:trHeight w:val="851"/>
        </w:trPr>
        <w:tc>
          <w:tcPr>
            <w:tcW w:w="576" w:type="dxa"/>
          </w:tcPr>
          <w:p w14:paraId="2EB90E84" w14:textId="34C9C6D9" w:rsidR="007E64F8" w:rsidRDefault="007E64F8" w:rsidP="000855CC">
            <w:pPr>
              <w:spacing w:before="240"/>
              <w:jc w:val="center"/>
            </w:pPr>
            <w:r>
              <w:t>3</w:t>
            </w:r>
          </w:p>
        </w:tc>
        <w:tc>
          <w:tcPr>
            <w:tcW w:w="1829" w:type="dxa"/>
          </w:tcPr>
          <w:p w14:paraId="0C6EA97C" w14:textId="1193E4F7" w:rsidR="007E64F8" w:rsidRDefault="00BF0024" w:rsidP="000855CC">
            <w:pPr>
              <w:spacing w:before="240"/>
            </w:pPr>
            <w:r>
              <w:t>§ 9</w:t>
            </w:r>
            <w:r w:rsidR="007E64F8">
              <w:t xml:space="preserve"> - dodać pkt. 3) </w:t>
            </w:r>
          </w:p>
        </w:tc>
        <w:tc>
          <w:tcPr>
            <w:tcW w:w="5973" w:type="dxa"/>
          </w:tcPr>
          <w:p w14:paraId="695DBE11" w14:textId="77777777" w:rsidR="007E64F8" w:rsidRDefault="007E64F8" w:rsidP="0064573F">
            <w:pPr>
              <w:spacing w:before="240"/>
            </w:pPr>
            <w:r w:rsidRPr="0064573F">
              <w:t xml:space="preserve">§ </w:t>
            </w:r>
            <w:r w:rsidRPr="0064573F">
              <w:rPr>
                <w:b/>
                <w:bCs/>
              </w:rPr>
              <w:t xml:space="preserve">9. </w:t>
            </w:r>
            <w:r w:rsidRPr="0064573F">
              <w:t>Do kategorii C zalicza si</w:t>
            </w:r>
            <w:r w:rsidRPr="0064573F">
              <w:rPr>
                <w:rFonts w:hint="eastAsia"/>
              </w:rPr>
              <w:t>ę</w:t>
            </w:r>
            <w:r w:rsidRPr="0064573F">
              <w:t xml:space="preserve"> przejazdy kolejowo-drogowe obejmuj</w:t>
            </w:r>
            <w:r w:rsidRPr="0064573F">
              <w:rPr>
                <w:rFonts w:hint="eastAsia"/>
              </w:rPr>
              <w:t>ą</w:t>
            </w:r>
            <w:r w:rsidRPr="0064573F">
              <w:t>ce skrzy</w:t>
            </w:r>
            <w:r w:rsidRPr="0064573F">
              <w:rPr>
                <w:rFonts w:hint="eastAsia"/>
              </w:rPr>
              <w:t>ż</w:t>
            </w:r>
            <w:r w:rsidRPr="0064573F">
              <w:t>owania</w:t>
            </w:r>
            <w:r>
              <w:t xml:space="preserve"> </w:t>
            </w:r>
            <w:r w:rsidRPr="0064573F">
              <w:t>linii kolejowych lub bocznic kolejowych z drogami</w:t>
            </w:r>
            <w:r>
              <w:t xml:space="preserve"> ...</w:t>
            </w:r>
          </w:p>
          <w:p w14:paraId="0C68B11F" w14:textId="2094948B" w:rsidR="007E64F8" w:rsidRPr="000A06AD" w:rsidRDefault="007E64F8" w:rsidP="000A64B7">
            <w:pPr>
              <w:spacing w:before="240"/>
            </w:pPr>
            <w:r w:rsidRPr="00FC3A1A">
              <w:rPr>
                <w:b/>
                <w:bCs/>
              </w:rPr>
              <w:t>3) iloczyn ruchu jest mniejszy od liczby 60 000 a droga na przeje</w:t>
            </w:r>
            <w:r w:rsidRPr="00FC3A1A">
              <w:rPr>
                <w:rFonts w:hint="eastAsia"/>
                <w:b/>
                <w:bCs/>
              </w:rPr>
              <w:t>ź</w:t>
            </w:r>
            <w:r w:rsidRPr="00FC3A1A">
              <w:rPr>
                <w:b/>
                <w:bCs/>
              </w:rPr>
              <w:t>dzie kolejowo-drogowym przecina</w:t>
            </w:r>
            <w:r w:rsidRPr="0064573F">
              <w:t xml:space="preserve"> </w:t>
            </w:r>
            <w:r w:rsidRPr="000A64B7">
              <w:rPr>
                <w:b/>
                <w:bCs/>
                <w:u w:val="single"/>
              </w:rPr>
              <w:t>dwa lub więcej</w:t>
            </w:r>
            <w:r w:rsidRPr="000A64B7">
              <w:rPr>
                <w:b/>
                <w:bCs/>
              </w:rPr>
              <w:t xml:space="preserve"> torów głównych</w:t>
            </w:r>
            <w:r w:rsidRPr="009E29D2">
              <w:rPr>
                <w:b/>
                <w:bCs/>
                <w:i/>
                <w:iCs/>
              </w:rPr>
              <w:t>.</w:t>
            </w:r>
            <w:r w:rsidRPr="009E29D2">
              <w:rPr>
                <w:i/>
                <w:iCs/>
              </w:rPr>
              <w:t xml:space="preserve"> </w:t>
            </w:r>
            <w:r w:rsidR="00DC4C17" w:rsidRPr="009E29D2">
              <w:rPr>
                <w:i/>
                <w:iCs/>
              </w:rPr>
              <w:t xml:space="preserve"> </w:t>
            </w:r>
          </w:p>
        </w:tc>
        <w:tc>
          <w:tcPr>
            <w:tcW w:w="4321" w:type="dxa"/>
            <w:vMerge w:val="restart"/>
          </w:tcPr>
          <w:p w14:paraId="20596BC6" w14:textId="77777777" w:rsidR="0082107D" w:rsidRDefault="007E64F8" w:rsidP="0082107D">
            <w:pPr>
              <w:spacing w:before="240"/>
            </w:pPr>
            <w:r>
              <w:t xml:space="preserve">Brak rogatek i/lub sygnalizacji uruchamianych przez pociąg w przypadku linii dwutorowej stwarza - nawet przy założeniu </w:t>
            </w:r>
            <w:r w:rsidR="00552978">
              <w:t xml:space="preserve">dobrych warunków terenowych i ostrożności kierujących pojazdami drogowymi </w:t>
            </w:r>
            <w:r w:rsidR="00D01888">
              <w:t xml:space="preserve">- </w:t>
            </w:r>
            <w:r w:rsidR="00552978">
              <w:t xml:space="preserve">dwa rodzaje </w:t>
            </w:r>
            <w:r w:rsidR="00D01888">
              <w:t>zagrożeń.</w:t>
            </w:r>
          </w:p>
          <w:p w14:paraId="68A6AACD" w14:textId="69EB89F7" w:rsidR="00D01888" w:rsidRDefault="00D01888" w:rsidP="0082107D">
            <w:pPr>
              <w:pStyle w:val="Akapitzlist"/>
              <w:numPr>
                <w:ilvl w:val="0"/>
                <w:numId w:val="1"/>
              </w:numPr>
              <w:ind w:left="0" w:firstLine="360"/>
            </w:pPr>
            <w:r>
              <w:t>Po przejeździe pociągu przez tor bliższy kierujące</w:t>
            </w:r>
            <w:r w:rsidR="00FC4BEB">
              <w:t xml:space="preserve">go </w:t>
            </w:r>
            <w:r w:rsidR="00CE6E38">
              <w:t xml:space="preserve">przez pewien czas zasłania on </w:t>
            </w:r>
            <w:r w:rsidR="009F532D">
              <w:t xml:space="preserve">drugi </w:t>
            </w:r>
            <w:r w:rsidR="00CE6E38">
              <w:t xml:space="preserve">tor dalszy i </w:t>
            </w:r>
            <w:r w:rsidR="009F532D">
              <w:t xml:space="preserve">zarazem </w:t>
            </w:r>
            <w:r w:rsidR="00CE6E38">
              <w:t xml:space="preserve">nadjeżdżający </w:t>
            </w:r>
            <w:r w:rsidR="0082107D">
              <w:t xml:space="preserve">ewentualnie </w:t>
            </w:r>
            <w:r w:rsidR="00CE6E38">
              <w:t>pociąg</w:t>
            </w:r>
            <w:r w:rsidR="00073E96">
              <w:t xml:space="preserve">. Tymczasem kierujący odnosi </w:t>
            </w:r>
            <w:r w:rsidR="00635E04">
              <w:t>wrażenie,</w:t>
            </w:r>
            <w:r w:rsidR="00073E96">
              <w:t xml:space="preserve"> że ryzyko minęło. </w:t>
            </w:r>
          </w:p>
          <w:p w14:paraId="275FB925" w14:textId="70D2FC94" w:rsidR="00073E96" w:rsidRDefault="00635E04" w:rsidP="0082107D">
            <w:pPr>
              <w:pStyle w:val="Akapitzlist"/>
              <w:numPr>
                <w:ilvl w:val="0"/>
                <w:numId w:val="1"/>
              </w:numPr>
              <w:spacing w:before="240"/>
              <w:ind w:left="16" w:firstLine="344"/>
            </w:pPr>
            <w:r>
              <w:t xml:space="preserve">W ruchu kolejowym dopuszczalne jest prowadzenie ruchu dwu pociągów w tym samym kierunku po obu torach linii dwutorowej. </w:t>
            </w:r>
            <w:r w:rsidR="00E36599">
              <w:t>Tymczasem k</w:t>
            </w:r>
            <w:r>
              <w:t xml:space="preserve">ierujący pojazdem drogowym </w:t>
            </w:r>
            <w:r w:rsidR="00E36599">
              <w:t xml:space="preserve">ma nawyk </w:t>
            </w:r>
            <w:r w:rsidR="002A074A">
              <w:t xml:space="preserve">- </w:t>
            </w:r>
            <w:r w:rsidR="00E36599">
              <w:t xml:space="preserve">po </w:t>
            </w:r>
            <w:r w:rsidR="000A349D">
              <w:t>stwierdzeniu,</w:t>
            </w:r>
            <w:r w:rsidR="00E36599">
              <w:t xml:space="preserve"> </w:t>
            </w:r>
            <w:r w:rsidR="005B5BB3">
              <w:t>ż</w:t>
            </w:r>
            <w:r w:rsidR="00E36599">
              <w:t xml:space="preserve">e </w:t>
            </w:r>
            <w:r w:rsidR="00CD1293">
              <w:t xml:space="preserve">już </w:t>
            </w:r>
            <w:r w:rsidR="00E36599">
              <w:t>przejechał pociąg po jednym torze</w:t>
            </w:r>
            <w:r w:rsidR="002A074A">
              <w:t>,</w:t>
            </w:r>
            <w:r w:rsidR="00E36599">
              <w:t xml:space="preserve"> spojrzeć w drugą stronę i jechać o ile nic stamtąd nie nadjeżdża. </w:t>
            </w:r>
            <w:r w:rsidR="00CD1293">
              <w:t xml:space="preserve">W </w:t>
            </w:r>
            <w:r w:rsidR="000A349D">
              <w:t>rezultacie</w:t>
            </w:r>
            <w:r w:rsidR="00CD1293">
              <w:t xml:space="preserve"> dyżurni ruchu </w:t>
            </w:r>
            <w:r w:rsidR="000A349D">
              <w:t>objawiają</w:t>
            </w:r>
            <w:r w:rsidR="00CD1293">
              <w:t xml:space="preserve"> się </w:t>
            </w:r>
            <w:r w:rsidR="000A349D">
              <w:t>wykorzystać</w:t>
            </w:r>
            <w:r w:rsidR="00CD1293">
              <w:t xml:space="preserve"> </w:t>
            </w:r>
            <w:r w:rsidR="000A349D">
              <w:t>drugi tor do wyprzedzania o ile na szlaku są przejazdy niestrzeżone, gdyż ryzyko</w:t>
            </w:r>
            <w:r w:rsidR="002A074A">
              <w:t xml:space="preserve"> dezorientacji kierujących i</w:t>
            </w:r>
            <w:r w:rsidR="000A349D">
              <w:t xml:space="preserve"> kolizji jest zbyt wielkie. </w:t>
            </w:r>
          </w:p>
        </w:tc>
        <w:tc>
          <w:tcPr>
            <w:tcW w:w="2689" w:type="dxa"/>
          </w:tcPr>
          <w:p w14:paraId="1E4E93D7" w14:textId="77777777" w:rsidR="007E64F8" w:rsidRDefault="007E64F8" w:rsidP="000855CC">
            <w:pPr>
              <w:spacing w:before="240"/>
            </w:pPr>
          </w:p>
        </w:tc>
      </w:tr>
      <w:tr w:rsidR="007E64F8" w14:paraId="76094926" w14:textId="77777777" w:rsidTr="00617119">
        <w:trPr>
          <w:trHeight w:val="851"/>
        </w:trPr>
        <w:tc>
          <w:tcPr>
            <w:tcW w:w="576" w:type="dxa"/>
          </w:tcPr>
          <w:p w14:paraId="3A9B260B" w14:textId="592D7FCB" w:rsidR="007E64F8" w:rsidRDefault="007E64F8" w:rsidP="000855CC">
            <w:pPr>
              <w:spacing w:before="240"/>
              <w:jc w:val="center"/>
            </w:pPr>
            <w:r>
              <w:t>4</w:t>
            </w:r>
          </w:p>
        </w:tc>
        <w:tc>
          <w:tcPr>
            <w:tcW w:w="1829" w:type="dxa"/>
          </w:tcPr>
          <w:p w14:paraId="6D0F36AE" w14:textId="1E77CBCB" w:rsidR="007E64F8" w:rsidRDefault="007E64F8" w:rsidP="000855CC">
            <w:pPr>
              <w:spacing w:before="240"/>
            </w:pPr>
            <w:r>
              <w:t>§</w:t>
            </w:r>
            <w:r w:rsidR="00FD6F54">
              <w:t xml:space="preserve"> </w:t>
            </w:r>
            <w:r>
              <w:t xml:space="preserve">10 </w:t>
            </w:r>
          </w:p>
        </w:tc>
        <w:tc>
          <w:tcPr>
            <w:tcW w:w="5973" w:type="dxa"/>
          </w:tcPr>
          <w:p w14:paraId="7BB1A45F" w14:textId="4CA06B7A" w:rsidR="007E64F8" w:rsidRDefault="007E64F8" w:rsidP="000A06AD">
            <w:pPr>
              <w:spacing w:before="240"/>
            </w:pPr>
            <w:r w:rsidRPr="000A06AD">
              <w:t>§ 10. Do kategorii D zalicza się przejazdy kolejowo-drogowe obejmujące skrzyżowania</w:t>
            </w:r>
            <w:r>
              <w:t xml:space="preserve"> </w:t>
            </w:r>
            <w:r w:rsidRPr="000A06AD">
              <w:t>linii kolejowych lub bocznic kolejowych z drogami, na których droga na jednym przejeździe</w:t>
            </w:r>
            <w:r>
              <w:t xml:space="preserve"> </w:t>
            </w:r>
            <w:r w:rsidRPr="000A06AD">
              <w:t xml:space="preserve">kolejowo-drogowym przecina </w:t>
            </w:r>
            <w:r w:rsidRPr="000A06AD">
              <w:rPr>
                <w:b/>
                <w:bCs/>
              </w:rPr>
              <w:t xml:space="preserve">nie więcej niż </w:t>
            </w:r>
            <w:r w:rsidRPr="009C538D">
              <w:rPr>
                <w:b/>
                <w:bCs/>
                <w:u w:val="single"/>
              </w:rPr>
              <w:t xml:space="preserve">jeden </w:t>
            </w:r>
            <w:r w:rsidRPr="000A06AD">
              <w:rPr>
                <w:b/>
                <w:bCs/>
              </w:rPr>
              <w:t>tor główny</w:t>
            </w:r>
            <w:r w:rsidRPr="000A06AD">
              <w:t>, a w przypadku</w:t>
            </w:r>
            <w:r>
              <w:t xml:space="preserve"> ... </w:t>
            </w:r>
          </w:p>
        </w:tc>
        <w:tc>
          <w:tcPr>
            <w:tcW w:w="4321" w:type="dxa"/>
            <w:vMerge/>
          </w:tcPr>
          <w:p w14:paraId="68FBD7C1" w14:textId="24AAD0B7" w:rsidR="007E64F8" w:rsidRDefault="007E64F8" w:rsidP="000855CC">
            <w:pPr>
              <w:spacing w:before="240"/>
            </w:pPr>
          </w:p>
        </w:tc>
        <w:tc>
          <w:tcPr>
            <w:tcW w:w="2689" w:type="dxa"/>
          </w:tcPr>
          <w:p w14:paraId="20910213" w14:textId="77777777" w:rsidR="007E64F8" w:rsidRDefault="007E64F8" w:rsidP="000855CC">
            <w:pPr>
              <w:spacing w:before="240"/>
            </w:pPr>
          </w:p>
        </w:tc>
      </w:tr>
      <w:tr w:rsidR="000A349D" w14:paraId="1CF7ECB5" w14:textId="77777777" w:rsidTr="00617119">
        <w:trPr>
          <w:trHeight w:val="851"/>
        </w:trPr>
        <w:tc>
          <w:tcPr>
            <w:tcW w:w="576" w:type="dxa"/>
          </w:tcPr>
          <w:p w14:paraId="4D4C31B6" w14:textId="2241A6BF" w:rsidR="000A349D" w:rsidRDefault="000A349D" w:rsidP="000855CC">
            <w:pPr>
              <w:spacing w:before="240"/>
              <w:jc w:val="center"/>
            </w:pPr>
            <w:r>
              <w:lastRenderedPageBreak/>
              <w:t>5</w:t>
            </w:r>
          </w:p>
        </w:tc>
        <w:tc>
          <w:tcPr>
            <w:tcW w:w="1829" w:type="dxa"/>
          </w:tcPr>
          <w:p w14:paraId="7F1BE8C2" w14:textId="27CA7F06" w:rsidR="000A349D" w:rsidRDefault="00616FA9" w:rsidP="000855CC">
            <w:pPr>
              <w:spacing w:before="240"/>
            </w:pPr>
            <w:r>
              <w:t>§</w:t>
            </w:r>
            <w:r w:rsidR="00FD6F54">
              <w:t xml:space="preserve"> </w:t>
            </w:r>
            <w:r>
              <w:t xml:space="preserve">25 </w:t>
            </w:r>
            <w:r w:rsidR="005F14A0">
              <w:t xml:space="preserve">pkt. 3) dopisać na końcu </w:t>
            </w:r>
          </w:p>
        </w:tc>
        <w:tc>
          <w:tcPr>
            <w:tcW w:w="5973" w:type="dxa"/>
          </w:tcPr>
          <w:p w14:paraId="6CBD4BEA" w14:textId="29C03CAB" w:rsidR="000A349D" w:rsidRPr="00FC3A1A" w:rsidRDefault="005F14A0" w:rsidP="000A06AD">
            <w:pPr>
              <w:spacing w:before="240"/>
              <w:rPr>
                <w:b/>
                <w:bCs/>
              </w:rPr>
            </w:pPr>
            <w:r w:rsidRPr="00FC3A1A">
              <w:rPr>
                <w:b/>
                <w:bCs/>
              </w:rPr>
              <w:t xml:space="preserve">... lub ulic na obszarach zabudowanych. </w:t>
            </w:r>
          </w:p>
        </w:tc>
        <w:tc>
          <w:tcPr>
            <w:tcW w:w="4321" w:type="dxa"/>
          </w:tcPr>
          <w:p w14:paraId="35165083" w14:textId="31E505A8" w:rsidR="000A349D" w:rsidRDefault="005F14A0" w:rsidP="000855CC">
            <w:pPr>
              <w:spacing w:before="240"/>
            </w:pPr>
            <w:r>
              <w:t xml:space="preserve">Dosłowna interpretacja przepisu może paraliżować rozwój obszarów miejskich </w:t>
            </w:r>
            <w:r w:rsidR="008C2B5D">
              <w:t xml:space="preserve">i generować nacisk społeczny na likwidację linii kolejowej. </w:t>
            </w:r>
          </w:p>
        </w:tc>
        <w:tc>
          <w:tcPr>
            <w:tcW w:w="2689" w:type="dxa"/>
          </w:tcPr>
          <w:p w14:paraId="341B78D9" w14:textId="77777777" w:rsidR="000A349D" w:rsidRDefault="000A349D" w:rsidP="000855CC">
            <w:pPr>
              <w:spacing w:before="240"/>
            </w:pPr>
          </w:p>
        </w:tc>
      </w:tr>
      <w:tr w:rsidR="000A349D" w14:paraId="3E0A0A80" w14:textId="77777777" w:rsidTr="00617119">
        <w:trPr>
          <w:trHeight w:val="851"/>
        </w:trPr>
        <w:tc>
          <w:tcPr>
            <w:tcW w:w="576" w:type="dxa"/>
          </w:tcPr>
          <w:p w14:paraId="6E40A75B" w14:textId="3A16CDAE" w:rsidR="000A349D" w:rsidRDefault="008C2B5D" w:rsidP="000855CC">
            <w:pPr>
              <w:spacing w:before="240"/>
              <w:jc w:val="center"/>
            </w:pPr>
            <w:r>
              <w:t>6</w:t>
            </w:r>
          </w:p>
        </w:tc>
        <w:tc>
          <w:tcPr>
            <w:tcW w:w="1829" w:type="dxa"/>
          </w:tcPr>
          <w:p w14:paraId="41613276" w14:textId="43FCF1F4" w:rsidR="000A349D" w:rsidRDefault="00FD6F54" w:rsidP="000855CC">
            <w:pPr>
              <w:spacing w:before="240"/>
            </w:pPr>
            <w:r>
              <w:t>§ 67</w:t>
            </w:r>
            <w:r w:rsidR="004C7567">
              <w:t xml:space="preserve"> w ust. 2 </w:t>
            </w:r>
            <w:r w:rsidR="00FB156D">
              <w:t>w pkt. 2</w:t>
            </w:r>
            <w:r w:rsidR="003862BA">
              <w:t xml:space="preserve"> dopisać na końcu</w:t>
            </w:r>
          </w:p>
        </w:tc>
        <w:tc>
          <w:tcPr>
            <w:tcW w:w="5973" w:type="dxa"/>
          </w:tcPr>
          <w:p w14:paraId="48D9C1FE" w14:textId="035106C3" w:rsidR="000A349D" w:rsidRPr="00FC3A1A" w:rsidRDefault="003862BA" w:rsidP="000A06AD">
            <w:pPr>
              <w:spacing w:before="240"/>
              <w:rPr>
                <w:b/>
                <w:bCs/>
              </w:rPr>
            </w:pPr>
            <w:r w:rsidRPr="00FC3A1A">
              <w:rPr>
                <w:b/>
                <w:bCs/>
              </w:rPr>
              <w:t xml:space="preserve">... w </w:t>
            </w:r>
            <w:r w:rsidR="00396E1D" w:rsidRPr="00FC3A1A">
              <w:rPr>
                <w:b/>
                <w:bCs/>
              </w:rPr>
              <w:t>przypadku,</w:t>
            </w:r>
            <w:r w:rsidRPr="00FC3A1A">
              <w:rPr>
                <w:b/>
                <w:bCs/>
              </w:rPr>
              <w:t xml:space="preserve"> gdy kierunek geograficzny drogi </w:t>
            </w:r>
            <w:r w:rsidR="00D5051F" w:rsidRPr="00FC3A1A">
              <w:rPr>
                <w:b/>
                <w:bCs/>
              </w:rPr>
              <w:t xml:space="preserve">oraz warunki terenowe mogą powodować </w:t>
            </w:r>
            <w:r w:rsidR="00396E1D" w:rsidRPr="00FC3A1A">
              <w:rPr>
                <w:b/>
                <w:bCs/>
              </w:rPr>
              <w:t xml:space="preserve">oślepienie kierującego tarczą wschodzącego lub zachodzącego słońca </w:t>
            </w:r>
            <w:r w:rsidR="00685BF8" w:rsidRPr="00FC3A1A">
              <w:rPr>
                <w:b/>
                <w:bCs/>
              </w:rPr>
              <w:t xml:space="preserve">poprzez chwilowe usytuowanie słońca za lub poniżej sygnalizatora </w:t>
            </w:r>
            <w:r w:rsidR="00F16F17" w:rsidRPr="00FC3A1A">
              <w:rPr>
                <w:b/>
                <w:bCs/>
              </w:rPr>
              <w:t xml:space="preserve">- </w:t>
            </w:r>
            <w:r w:rsidR="001379E5" w:rsidRPr="00FC3A1A">
              <w:rPr>
                <w:b/>
                <w:bCs/>
              </w:rPr>
              <w:t xml:space="preserve">ustawienie sygnalizatorów po obu stronach drogi jest obowiązkowe; </w:t>
            </w:r>
          </w:p>
        </w:tc>
        <w:tc>
          <w:tcPr>
            <w:tcW w:w="4321" w:type="dxa"/>
          </w:tcPr>
          <w:p w14:paraId="64F4010B" w14:textId="1257AE33" w:rsidR="000A349D" w:rsidRPr="008841CE" w:rsidRDefault="0082107D" w:rsidP="008841CE">
            <w:pPr>
              <w:pStyle w:val="Tekstprzypisudolneg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Znany z literatury o</w:t>
            </w:r>
            <w:r w:rsidR="00E512FD" w:rsidRPr="00631596">
              <w:rPr>
                <w:rFonts w:asciiTheme="minorHAnsi" w:hAnsiTheme="minorHAnsi"/>
                <w:sz w:val="22"/>
                <w:szCs w:val="22"/>
              </w:rPr>
              <w:t xml:space="preserve">pis jednego z wypadków w Anglii jak i </w:t>
            </w:r>
            <w:r w:rsidR="00631596" w:rsidRPr="00631596">
              <w:rPr>
                <w:rFonts w:asciiTheme="minorHAnsi" w:hAnsiTheme="minorHAnsi"/>
                <w:sz w:val="22"/>
                <w:szCs w:val="22"/>
              </w:rPr>
              <w:t xml:space="preserve">analiza </w:t>
            </w:r>
            <w:r w:rsidR="00E512FD" w:rsidRPr="00631596">
              <w:rPr>
                <w:rFonts w:asciiTheme="minorHAnsi" w:hAnsiTheme="minorHAnsi"/>
                <w:sz w:val="22"/>
                <w:szCs w:val="22"/>
              </w:rPr>
              <w:t>w raporcie Państwowej Komisji Wypadków Kolejowych</w:t>
            </w:r>
            <w:r w:rsidR="00631596" w:rsidRPr="00631596">
              <w:rPr>
                <w:rFonts w:asciiTheme="minorHAnsi" w:hAnsiTheme="minorHAnsi"/>
                <w:sz w:val="22"/>
                <w:szCs w:val="22"/>
              </w:rPr>
              <w:t xml:space="preserve"> (Raport nr 06/2019 … z 21 listopada 2019</w:t>
            </w:r>
            <w:r w:rsidR="00631596">
              <w:rPr>
                <w:rFonts w:asciiTheme="minorHAnsi" w:hAnsiTheme="minorHAnsi"/>
                <w:sz w:val="22"/>
                <w:szCs w:val="22"/>
              </w:rPr>
              <w:t>)</w:t>
            </w:r>
            <w:r w:rsidR="00566AE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512FD" w:rsidRPr="00566AE9">
              <w:rPr>
                <w:rFonts w:asciiTheme="minorHAnsi" w:hAnsiTheme="minorHAnsi"/>
                <w:sz w:val="22"/>
                <w:szCs w:val="22"/>
              </w:rPr>
              <w:t xml:space="preserve">wskazuje na uwarunkowania wynikające z pory dnia. Niekorzystny kąt padania promieni słonecznych powodujący oślepienie, które może powodować niezauważenie czerwonego światła na sygnalizatorze na przejeździe kategorii C, był okolicznością </w:t>
            </w:r>
            <w:r w:rsidR="00C543DC">
              <w:rPr>
                <w:rFonts w:asciiTheme="minorHAnsi" w:hAnsiTheme="minorHAnsi"/>
                <w:sz w:val="22"/>
                <w:szCs w:val="22"/>
              </w:rPr>
              <w:t xml:space="preserve">(przyczyną) </w:t>
            </w:r>
            <w:r w:rsidR="00E512FD" w:rsidRPr="00566AE9">
              <w:rPr>
                <w:rFonts w:asciiTheme="minorHAnsi" w:hAnsiTheme="minorHAnsi"/>
                <w:sz w:val="22"/>
                <w:szCs w:val="22"/>
              </w:rPr>
              <w:t xml:space="preserve">wskazaną w raporcie. W innym </w:t>
            </w:r>
            <w:r w:rsidR="00C543DC" w:rsidRPr="00566AE9">
              <w:rPr>
                <w:rFonts w:asciiTheme="minorHAnsi" w:hAnsiTheme="minorHAnsi"/>
                <w:sz w:val="22"/>
                <w:szCs w:val="22"/>
              </w:rPr>
              <w:t>przypadku</w:t>
            </w:r>
            <w:r w:rsidR="00C543DC">
              <w:rPr>
                <w:rFonts w:asciiTheme="minorHAnsi" w:hAnsiTheme="minorHAnsi"/>
                <w:sz w:val="22"/>
                <w:szCs w:val="22"/>
              </w:rPr>
              <w:t xml:space="preserve"> PKBWK</w:t>
            </w:r>
            <w:r w:rsidR="00E512FD" w:rsidRPr="00566AE9">
              <w:rPr>
                <w:rFonts w:asciiTheme="minorHAnsi" w:hAnsiTheme="minorHAnsi"/>
                <w:sz w:val="22"/>
                <w:szCs w:val="22"/>
              </w:rPr>
              <w:t xml:space="preserve"> dokonała nawet symulacji ruchu słońca</w:t>
            </w:r>
            <w:r w:rsidR="008841CE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="008841CE" w:rsidRPr="008841CE">
              <w:rPr>
                <w:rFonts w:asciiTheme="minorHAnsi" w:hAnsiTheme="minorHAnsi"/>
                <w:sz w:val="22"/>
                <w:szCs w:val="22"/>
              </w:rPr>
              <w:t>Raport nr 04/2020 … z 19 czerwca 2020. Rysunki na str. 15.</w:t>
            </w:r>
            <w:r w:rsidR="008841CE">
              <w:rPr>
                <w:rFonts w:asciiTheme="minorHAnsi" w:hAnsiTheme="minorHAnsi"/>
                <w:sz w:val="22"/>
                <w:szCs w:val="22"/>
              </w:rPr>
              <w:t xml:space="preserve">), </w:t>
            </w:r>
            <w:r w:rsidR="00E512FD" w:rsidRPr="00566AE9">
              <w:rPr>
                <w:rFonts w:asciiTheme="minorHAnsi" w:hAnsiTheme="minorHAnsi"/>
                <w:sz w:val="22"/>
                <w:szCs w:val="22"/>
              </w:rPr>
              <w:t>aby ocenić na ile mogło ono zakłócić obserwację. Dodajmy, że inaczej niż w przypadku kategorii A lub B nie ma zapór i dodatkowych</w:t>
            </w:r>
            <w:r w:rsidR="00E512FD" w:rsidRPr="008841CE">
              <w:rPr>
                <w:rFonts w:asciiTheme="minorHAnsi" w:hAnsiTheme="minorHAnsi"/>
                <w:sz w:val="22"/>
                <w:szCs w:val="22"/>
              </w:rPr>
              <w:t xml:space="preserve"> świateł na zaporach. Dwie komory sygnalizatora, które według przepisów</w:t>
            </w:r>
            <w:r w:rsidR="00E512FD" w:rsidRPr="008841CE">
              <w:rPr>
                <w:rFonts w:asciiTheme="minorHAnsi" w:hAnsiTheme="minorHAnsi"/>
                <w:szCs w:val="22"/>
              </w:rPr>
              <w:footnoteReference w:id="1"/>
            </w:r>
            <w:r w:rsidR="00E512FD" w:rsidRPr="008841CE">
              <w:rPr>
                <w:rFonts w:asciiTheme="minorHAnsi" w:hAnsiTheme="minorHAnsi"/>
                <w:sz w:val="22"/>
                <w:szCs w:val="22"/>
              </w:rPr>
              <w:t xml:space="preserve"> są rozsunięte (osie soczewek) o 600 mm, mają wraz z tłem szerokość około 1,2 m.  Kąt pod jakim widzimy średnicę tarczy słonecznej to średnio 32’ (minuty), niewiele ponad połowę stopnia. Taka jest szerokość kątowa sygnalizatora wraz z tarczą tworzącą czarne tło, gdy patrzymy na niego z odległości około 120 m. Wtedy może się zdarzyć, że jest on położony całkowicie na tarczy wschodzącego lub zachodzącego słońca. W miarę zbliżania słońce będzie się zmniejszać względem tarczy </w:t>
            </w:r>
            <w:r w:rsidR="00E512FD" w:rsidRPr="008841CE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sygnalizatora, ale całkowicie może się za nim skryć nie wcześniej niż przy odległości około 65 m. </w:t>
            </w:r>
            <w:r w:rsidR="003A648F">
              <w:rPr>
                <w:rFonts w:asciiTheme="minorHAnsi" w:hAnsiTheme="minorHAnsi"/>
                <w:sz w:val="22"/>
                <w:szCs w:val="22"/>
              </w:rPr>
              <w:t>J</w:t>
            </w:r>
            <w:r w:rsidR="00E512FD" w:rsidRPr="008841CE">
              <w:rPr>
                <w:rFonts w:asciiTheme="minorHAnsi" w:hAnsiTheme="minorHAnsi"/>
                <w:sz w:val="22"/>
                <w:szCs w:val="22"/>
              </w:rPr>
              <w:t xml:space="preserve">ednak </w:t>
            </w:r>
            <w:r w:rsidR="003A648F" w:rsidRPr="008841CE">
              <w:rPr>
                <w:rFonts w:asciiTheme="minorHAnsi" w:hAnsiTheme="minorHAnsi"/>
                <w:sz w:val="22"/>
                <w:szCs w:val="22"/>
              </w:rPr>
              <w:t xml:space="preserve">nisko </w:t>
            </w:r>
            <w:r w:rsidR="00E512FD" w:rsidRPr="008841CE">
              <w:rPr>
                <w:rFonts w:asciiTheme="minorHAnsi" w:hAnsiTheme="minorHAnsi"/>
                <w:sz w:val="22"/>
                <w:szCs w:val="22"/>
              </w:rPr>
              <w:t xml:space="preserve">idące słońce świecące prosto w oczy skutecznie oślepi kierującego. Sytuacja jest jeszcze gorsza, gdy droga idzie pod górę i na wprost możemy zobaczyć słońce, które już jest ponad horyzontem i jego światło jest bardziej intensywne niż o wschodzie lub zachodzie (promienie mają krótszą drogę przez atmosferę). </w:t>
            </w:r>
            <w:r w:rsidR="00D002E9">
              <w:rPr>
                <w:rFonts w:asciiTheme="minorHAnsi" w:hAnsiTheme="minorHAnsi"/>
                <w:sz w:val="22"/>
                <w:szCs w:val="22"/>
              </w:rPr>
              <w:t>W</w:t>
            </w:r>
            <w:r w:rsidR="00E512FD" w:rsidRPr="008841CE">
              <w:rPr>
                <w:rFonts w:asciiTheme="minorHAnsi" w:hAnsiTheme="minorHAnsi"/>
                <w:sz w:val="22"/>
                <w:szCs w:val="22"/>
              </w:rPr>
              <w:t xml:space="preserve"> takiej sytuacji pojazdy poprzedzające </w:t>
            </w:r>
            <w:r w:rsidR="00D002E9">
              <w:rPr>
                <w:rFonts w:asciiTheme="minorHAnsi" w:hAnsiTheme="minorHAnsi"/>
                <w:sz w:val="22"/>
                <w:szCs w:val="22"/>
              </w:rPr>
              <w:t xml:space="preserve">i inne obiekty </w:t>
            </w:r>
            <w:r w:rsidR="00E512FD" w:rsidRPr="008841CE">
              <w:rPr>
                <w:rFonts w:asciiTheme="minorHAnsi" w:hAnsiTheme="minorHAnsi"/>
                <w:sz w:val="22"/>
                <w:szCs w:val="22"/>
              </w:rPr>
              <w:t>są plamami na tle oślepiającego światła</w:t>
            </w:r>
            <w:r w:rsidR="008D205C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D645F8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="00D645F8" w:rsidRPr="008841CE">
              <w:rPr>
                <w:rFonts w:asciiTheme="minorHAnsi" w:hAnsiTheme="minorHAnsi"/>
                <w:sz w:val="22"/>
                <w:szCs w:val="22"/>
              </w:rPr>
              <w:t>rozpoznanie</w:t>
            </w:r>
            <w:r w:rsidR="00E512FD" w:rsidRPr="008841CE">
              <w:rPr>
                <w:rFonts w:asciiTheme="minorHAnsi" w:hAnsiTheme="minorHAnsi"/>
                <w:sz w:val="22"/>
                <w:szCs w:val="22"/>
              </w:rPr>
              <w:t xml:space="preserve"> czy światła świecą jest niewykonalne. Taka sytuacja trwa krótko, słońce do przesunięcia się o kąt jednego stopnia potrzebuje tylko około 4 minuty, a więc od momentu, w którym dla obserwatora odległego o 120m zacznie ono stanowić tło dla sygnalizatora, potem przejdzie za nim i całkowicie wyjdzie spoza niego wystarczy około 6 minut. Nie będzie tak każdego dnia</w:t>
            </w:r>
            <w:r w:rsidR="008C5035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E512FD" w:rsidRPr="008841C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C5035">
              <w:rPr>
                <w:rFonts w:asciiTheme="minorHAnsi" w:hAnsiTheme="minorHAnsi"/>
                <w:sz w:val="22"/>
                <w:szCs w:val="22"/>
              </w:rPr>
              <w:t>Z</w:t>
            </w:r>
            <w:r w:rsidR="00E512FD" w:rsidRPr="008841CE">
              <w:rPr>
                <w:rFonts w:asciiTheme="minorHAnsi" w:hAnsiTheme="minorHAnsi"/>
                <w:sz w:val="22"/>
                <w:szCs w:val="22"/>
              </w:rPr>
              <w:t xml:space="preserve"> dnia na dzień Słońce wędruje o 0,2 stopnia wyżej lub niżej. Tak więc sytuacja najgroźniejsza, w której słońce jest niżej lub na wysokości sygnalizatora może trwać tylko 6 dni w roku po 6 minut każdego dnia, czyli 36 minut w roku. Tak więc prawdopodobieństwo, że taka sytuacja rzuci się w oczy w trakcie lustracji przejazdu jest bardzo niskie</w:t>
            </w:r>
            <w:r w:rsidR="000E582E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E512FD" w:rsidRPr="008841CE">
              <w:rPr>
                <w:rFonts w:asciiTheme="minorHAnsi" w:hAnsiTheme="minorHAnsi"/>
                <w:sz w:val="22"/>
                <w:szCs w:val="22"/>
              </w:rPr>
              <w:t xml:space="preserve">Na mało ruchliwej drodze przez dłuższy czas może na nią nikt nie natrafić.  Dlatego w przypadku drogi, której azymut kieruje się choćby w przybliżeniu na wschód lub zachód słońca w jakimkolwiek dniu </w:t>
            </w:r>
            <w:r w:rsidR="002E0529">
              <w:rPr>
                <w:rFonts w:asciiTheme="minorHAnsi" w:hAnsiTheme="minorHAnsi"/>
                <w:sz w:val="22"/>
                <w:szCs w:val="22"/>
              </w:rPr>
              <w:t xml:space="preserve">roku </w:t>
            </w:r>
            <w:r w:rsidR="008C5035">
              <w:rPr>
                <w:rFonts w:asciiTheme="minorHAnsi" w:hAnsiTheme="minorHAnsi"/>
                <w:sz w:val="22"/>
                <w:szCs w:val="22"/>
              </w:rPr>
              <w:t xml:space="preserve">istnieje </w:t>
            </w:r>
            <w:r w:rsidR="00297FD7">
              <w:rPr>
                <w:rFonts w:asciiTheme="minorHAnsi" w:hAnsiTheme="minorHAnsi"/>
                <w:sz w:val="22"/>
                <w:szCs w:val="22"/>
              </w:rPr>
              <w:t>rzadkie,</w:t>
            </w:r>
            <w:r w:rsidR="000E582E">
              <w:rPr>
                <w:rFonts w:asciiTheme="minorHAnsi" w:hAnsiTheme="minorHAnsi"/>
                <w:sz w:val="22"/>
                <w:szCs w:val="22"/>
              </w:rPr>
              <w:t xml:space="preserve"> ale bardzo groźne </w:t>
            </w:r>
            <w:r w:rsidR="00E512FD" w:rsidRPr="008841CE">
              <w:rPr>
                <w:rFonts w:asciiTheme="minorHAnsi" w:hAnsiTheme="minorHAnsi"/>
                <w:sz w:val="22"/>
                <w:szCs w:val="22"/>
              </w:rPr>
              <w:t>ryzyk</w:t>
            </w:r>
            <w:r w:rsidR="00FE6E16">
              <w:rPr>
                <w:rFonts w:asciiTheme="minorHAnsi" w:hAnsiTheme="minorHAnsi"/>
                <w:sz w:val="22"/>
                <w:szCs w:val="22"/>
              </w:rPr>
              <w:t>o</w:t>
            </w:r>
            <w:r w:rsidR="00E512FD" w:rsidRPr="008841CE">
              <w:rPr>
                <w:rFonts w:asciiTheme="minorHAnsi" w:hAnsiTheme="minorHAnsi"/>
                <w:sz w:val="22"/>
                <w:szCs w:val="22"/>
              </w:rPr>
              <w:t xml:space="preserve"> silnego oślepienia</w:t>
            </w:r>
            <w:r w:rsidR="00FE6E16">
              <w:rPr>
                <w:rFonts w:asciiTheme="minorHAnsi" w:hAnsiTheme="minorHAnsi"/>
                <w:sz w:val="22"/>
                <w:szCs w:val="22"/>
              </w:rPr>
              <w:t xml:space="preserve">. Wobec typowej szerokości </w:t>
            </w:r>
            <w:r w:rsidR="00FE6E16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drogi </w:t>
            </w:r>
            <w:r w:rsidR="00E5232A">
              <w:rPr>
                <w:rFonts w:asciiTheme="minorHAnsi" w:hAnsiTheme="minorHAnsi"/>
                <w:sz w:val="22"/>
                <w:szCs w:val="22"/>
              </w:rPr>
              <w:t xml:space="preserve">– ponad 6m - </w:t>
            </w:r>
            <w:r w:rsidR="00FE6E16" w:rsidRPr="008841CE">
              <w:rPr>
                <w:rFonts w:asciiTheme="minorHAnsi" w:hAnsiTheme="minorHAnsi"/>
                <w:sz w:val="22"/>
                <w:szCs w:val="22"/>
              </w:rPr>
              <w:t>zdublowany</w:t>
            </w:r>
            <w:r w:rsidR="00FE6E1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512FD" w:rsidRPr="008841CE">
              <w:rPr>
                <w:rFonts w:asciiTheme="minorHAnsi" w:hAnsiTheme="minorHAnsi"/>
                <w:sz w:val="22"/>
                <w:szCs w:val="22"/>
              </w:rPr>
              <w:t>sygnalizator powiększ</w:t>
            </w:r>
            <w:r w:rsidR="00FE6E16">
              <w:rPr>
                <w:rFonts w:asciiTheme="minorHAnsi" w:hAnsiTheme="minorHAnsi"/>
                <w:sz w:val="22"/>
                <w:szCs w:val="22"/>
              </w:rPr>
              <w:t>y</w:t>
            </w:r>
            <w:r w:rsidR="00E512FD" w:rsidRPr="008841CE">
              <w:rPr>
                <w:rFonts w:asciiTheme="minorHAnsi" w:hAnsiTheme="minorHAnsi"/>
                <w:sz w:val="22"/>
                <w:szCs w:val="22"/>
              </w:rPr>
              <w:t xml:space="preserve"> szansę rozpoznania sytuacji na przejeździe</w:t>
            </w:r>
            <w:r w:rsidR="00FE6E16">
              <w:rPr>
                <w:rFonts w:asciiTheme="minorHAnsi" w:hAnsiTheme="minorHAnsi"/>
                <w:sz w:val="22"/>
                <w:szCs w:val="22"/>
              </w:rPr>
              <w:t>, gdyż jed</w:t>
            </w:r>
            <w:r w:rsidR="0003657A">
              <w:rPr>
                <w:rFonts w:asciiTheme="minorHAnsi" w:hAnsiTheme="minorHAnsi"/>
                <w:sz w:val="22"/>
                <w:szCs w:val="22"/>
              </w:rPr>
              <w:t>en</w:t>
            </w:r>
            <w:r w:rsidR="00FE6E16">
              <w:rPr>
                <w:rFonts w:asciiTheme="minorHAnsi" w:hAnsiTheme="minorHAnsi"/>
                <w:sz w:val="22"/>
                <w:szCs w:val="22"/>
              </w:rPr>
              <w:t xml:space="preserve"> z sygnalizatorów będzie </w:t>
            </w:r>
            <w:r w:rsidR="00297FD7">
              <w:rPr>
                <w:rFonts w:asciiTheme="minorHAnsi" w:hAnsiTheme="minorHAnsi"/>
                <w:sz w:val="22"/>
                <w:szCs w:val="22"/>
              </w:rPr>
              <w:t xml:space="preserve">zawsze </w:t>
            </w:r>
            <w:r w:rsidR="00E5232A">
              <w:rPr>
                <w:rFonts w:asciiTheme="minorHAnsi" w:hAnsiTheme="minorHAnsi"/>
                <w:sz w:val="22"/>
                <w:szCs w:val="22"/>
              </w:rPr>
              <w:t>pozostawał</w:t>
            </w:r>
            <w:r w:rsidR="00FE6E1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C3A1A">
              <w:rPr>
                <w:rFonts w:asciiTheme="minorHAnsi" w:hAnsiTheme="minorHAnsi"/>
                <w:sz w:val="22"/>
                <w:szCs w:val="22"/>
              </w:rPr>
              <w:t xml:space="preserve">w pewnej odległości i </w:t>
            </w:r>
            <w:r w:rsidR="00FE6E16">
              <w:rPr>
                <w:rFonts w:asciiTheme="minorHAnsi" w:hAnsiTheme="minorHAnsi"/>
                <w:sz w:val="22"/>
                <w:szCs w:val="22"/>
              </w:rPr>
              <w:t xml:space="preserve">poza </w:t>
            </w:r>
            <w:r w:rsidR="00E5232A">
              <w:rPr>
                <w:rFonts w:asciiTheme="minorHAnsi" w:hAnsiTheme="minorHAnsi"/>
                <w:sz w:val="22"/>
                <w:szCs w:val="22"/>
              </w:rPr>
              <w:t xml:space="preserve">tarczą </w:t>
            </w:r>
            <w:r w:rsidR="00FE6E16">
              <w:rPr>
                <w:rFonts w:asciiTheme="minorHAnsi" w:hAnsiTheme="minorHAnsi"/>
                <w:sz w:val="22"/>
                <w:szCs w:val="22"/>
              </w:rPr>
              <w:t>s</w:t>
            </w:r>
            <w:r w:rsidR="00E5232A">
              <w:rPr>
                <w:rFonts w:asciiTheme="minorHAnsi" w:hAnsiTheme="minorHAnsi"/>
                <w:sz w:val="22"/>
                <w:szCs w:val="22"/>
              </w:rPr>
              <w:t>łońca</w:t>
            </w:r>
            <w:r w:rsidR="00D854C8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D66A5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3657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512FD" w:rsidRPr="008841C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689" w:type="dxa"/>
          </w:tcPr>
          <w:p w14:paraId="7FD8DFAE" w14:textId="77777777" w:rsidR="000A349D" w:rsidRDefault="000A349D" w:rsidP="000855CC">
            <w:pPr>
              <w:spacing w:before="240"/>
            </w:pPr>
          </w:p>
        </w:tc>
      </w:tr>
    </w:tbl>
    <w:p w14:paraId="5D482420" w14:textId="2A56B9C8" w:rsidR="001E2FC8" w:rsidRDefault="001E2FC8"/>
    <w:p w14:paraId="24EA13AE" w14:textId="77777777" w:rsidR="00B850E0" w:rsidRDefault="00B850E0"/>
    <w:p w14:paraId="37845028" w14:textId="3D05D34F" w:rsidR="00B850E0" w:rsidRDefault="00B850E0">
      <w:r>
        <w:t>Dodatkowo pragniemy zamieścić jeszcze uwagę ogólną:</w:t>
      </w:r>
    </w:p>
    <w:p w14:paraId="40C9B859" w14:textId="2C15035B" w:rsidR="00B850E0" w:rsidRDefault="00B850E0">
      <w:r>
        <w:t xml:space="preserve">Taj jak już wcześniej było to postulowane  uważamy , iż  znaczne  zwiększenie bezpieczeństwa na PK-D  mogłoby zapewnić  wprowadzenie </w:t>
      </w:r>
      <w:r w:rsidRPr="00B850E0">
        <w:t xml:space="preserve"> możliwoś</w:t>
      </w:r>
      <w:r>
        <w:t>ci</w:t>
      </w:r>
      <w:r w:rsidRPr="00B850E0">
        <w:t xml:space="preserve"> kategoryzacji PK-D w </w:t>
      </w:r>
      <w:r w:rsidR="00A82201">
        <w:t xml:space="preserve">oraz dalszego funkcjonowania PK-D w </w:t>
      </w:r>
      <w:r w:rsidRPr="00B850E0">
        <w:t xml:space="preserve">oparciu o </w:t>
      </w:r>
      <w:r w:rsidR="00A82201">
        <w:t xml:space="preserve"> proces </w:t>
      </w:r>
      <w:r w:rsidRPr="00B850E0">
        <w:t>zarządzani</w:t>
      </w:r>
      <w:r w:rsidR="00A82201">
        <w:t>a</w:t>
      </w:r>
      <w:r w:rsidRPr="00B850E0">
        <w:t xml:space="preserve"> ryzykiem</w:t>
      </w:r>
      <w:r>
        <w:t xml:space="preserve">. Aktualnie </w:t>
      </w:r>
      <w:r w:rsidRPr="00B850E0">
        <w:t xml:space="preserve"> kategoria przejazdu określ</w:t>
      </w:r>
      <w:r>
        <w:t>a</w:t>
      </w:r>
      <w:r w:rsidRPr="00B850E0">
        <w:t xml:space="preserve">na </w:t>
      </w:r>
      <w:r>
        <w:t>jest</w:t>
      </w:r>
      <w:r w:rsidRPr="00B850E0">
        <w:t xml:space="preserve"> w oparciu</w:t>
      </w:r>
      <w:r>
        <w:t xml:space="preserve"> głównie </w:t>
      </w:r>
      <w:r w:rsidRPr="00B850E0">
        <w:t xml:space="preserve"> o iloczyn ruchu, prędkość pociągu i trójkąt widoczności</w:t>
      </w:r>
      <w:r>
        <w:t xml:space="preserve">. Należałoby wziąć pod uwagę </w:t>
      </w:r>
      <w:r w:rsidRPr="00B850E0">
        <w:t xml:space="preserve"> także np. rodzaj użytkownik</w:t>
      </w:r>
      <w:r w:rsidR="00A82201">
        <w:t>ów</w:t>
      </w:r>
      <w:r w:rsidRPr="00B850E0">
        <w:t xml:space="preserve"> </w:t>
      </w:r>
      <w:proofErr w:type="spellStart"/>
      <w:r w:rsidRPr="00B850E0">
        <w:t>pk</w:t>
      </w:r>
      <w:proofErr w:type="spellEnd"/>
      <w:r w:rsidRPr="00B850E0">
        <w:t>-d,  gabaryty</w:t>
      </w:r>
      <w:r w:rsidR="00A82201">
        <w:t xml:space="preserve"> pojazdów</w:t>
      </w:r>
      <w:r>
        <w:t>,</w:t>
      </w:r>
      <w:r w:rsidRPr="00B850E0">
        <w:t xml:space="preserve"> czas przemieszczenia przez </w:t>
      </w:r>
      <w:proofErr w:type="spellStart"/>
      <w:r w:rsidRPr="00B850E0">
        <w:t>pk</w:t>
      </w:r>
      <w:proofErr w:type="spellEnd"/>
      <w:r w:rsidRPr="00B850E0">
        <w:t>-d</w:t>
      </w:r>
      <w:r>
        <w:t>, warunki otoczenia</w:t>
      </w:r>
      <w:r w:rsidR="00A82201">
        <w:t xml:space="preserve">, warunki techniczne itp. Taka analiza jest możliwa do wykonania  przy zastosowaniu  rozwiązań i środków  jakimi dysponują procedury zarzadzania ryzykiem. </w:t>
      </w:r>
    </w:p>
    <w:sectPr w:rsidR="00B850E0" w:rsidSect="005B3B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EB5FB" w14:textId="77777777" w:rsidR="00946A5F" w:rsidRDefault="00946A5F" w:rsidP="00AF3EEE">
      <w:pPr>
        <w:spacing w:after="0" w:line="240" w:lineRule="auto"/>
      </w:pPr>
      <w:r>
        <w:separator/>
      </w:r>
    </w:p>
  </w:endnote>
  <w:endnote w:type="continuationSeparator" w:id="0">
    <w:p w14:paraId="494CF5E0" w14:textId="77777777" w:rsidR="00946A5F" w:rsidRDefault="00946A5F" w:rsidP="00AF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5BC5E" w14:textId="77777777" w:rsidR="00AF3EEE" w:rsidRDefault="00AF3E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1129E" w14:textId="77777777" w:rsidR="00AF3EEE" w:rsidRDefault="00AF3E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29749" w14:textId="77777777" w:rsidR="00AF3EEE" w:rsidRDefault="00AF3E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C5800" w14:textId="77777777" w:rsidR="00946A5F" w:rsidRDefault="00946A5F" w:rsidP="00AF3EEE">
      <w:pPr>
        <w:spacing w:after="0" w:line="240" w:lineRule="auto"/>
      </w:pPr>
      <w:r>
        <w:separator/>
      </w:r>
    </w:p>
  </w:footnote>
  <w:footnote w:type="continuationSeparator" w:id="0">
    <w:p w14:paraId="51728290" w14:textId="77777777" w:rsidR="00946A5F" w:rsidRDefault="00946A5F" w:rsidP="00AF3EEE">
      <w:pPr>
        <w:spacing w:after="0" w:line="240" w:lineRule="auto"/>
      </w:pPr>
      <w:r>
        <w:continuationSeparator/>
      </w:r>
    </w:p>
  </w:footnote>
  <w:footnote w:id="1">
    <w:p w14:paraId="6EB54209" w14:textId="77777777" w:rsidR="00E512FD" w:rsidRPr="00E10333" w:rsidRDefault="00E512FD" w:rsidP="00E512FD">
      <w:pPr>
        <w:pStyle w:val="Tekstprzypisudolnego"/>
      </w:pPr>
      <w:r>
        <w:rPr>
          <w:rStyle w:val="Odwoanieprzypisudolnego"/>
        </w:rPr>
        <w:footnoteRef/>
      </w:r>
      <w:r w:rsidRPr="00E10333">
        <w:t xml:space="preserve"> Instrukcja PKP PLK nr Ie_119, </w:t>
      </w:r>
      <w:r w:rsidRPr="00E10333">
        <w:rPr>
          <w:rFonts w:ascii="Arial" w:hAnsi="Arial" w:cs="Arial"/>
        </w:rPr>
        <w:t>§</w:t>
      </w:r>
      <w:r w:rsidRPr="00E10333">
        <w:t>11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DAFBD" w14:textId="77777777" w:rsidR="00AF3EEE" w:rsidRDefault="00AF3E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F76E3" w14:textId="77777777" w:rsidR="00AF3EEE" w:rsidRDefault="00AF3EE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08E99" w14:textId="77777777" w:rsidR="00AF3EEE" w:rsidRDefault="00AF3E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25200"/>
    <w:multiLevelType w:val="hybridMultilevel"/>
    <w:tmpl w:val="ED628A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470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B3D"/>
    <w:rsid w:val="00006EA4"/>
    <w:rsid w:val="0001226B"/>
    <w:rsid w:val="0003657A"/>
    <w:rsid w:val="00073E96"/>
    <w:rsid w:val="000855CC"/>
    <w:rsid w:val="00092965"/>
    <w:rsid w:val="000A06AD"/>
    <w:rsid w:val="000A349D"/>
    <w:rsid w:val="000A64B7"/>
    <w:rsid w:val="000B1828"/>
    <w:rsid w:val="000E3565"/>
    <w:rsid w:val="000E582E"/>
    <w:rsid w:val="00104AAB"/>
    <w:rsid w:val="0012152D"/>
    <w:rsid w:val="0013623C"/>
    <w:rsid w:val="001379E5"/>
    <w:rsid w:val="00157BE1"/>
    <w:rsid w:val="0016208E"/>
    <w:rsid w:val="001867DC"/>
    <w:rsid w:val="001D4ACB"/>
    <w:rsid w:val="001D55EA"/>
    <w:rsid w:val="001E2FC8"/>
    <w:rsid w:val="00201640"/>
    <w:rsid w:val="00211249"/>
    <w:rsid w:val="00251D68"/>
    <w:rsid w:val="00294AB3"/>
    <w:rsid w:val="0029715B"/>
    <w:rsid w:val="00297FD7"/>
    <w:rsid w:val="002A074A"/>
    <w:rsid w:val="002D32FC"/>
    <w:rsid w:val="002E0529"/>
    <w:rsid w:val="0030189E"/>
    <w:rsid w:val="003100ED"/>
    <w:rsid w:val="003862BA"/>
    <w:rsid w:val="00396E1D"/>
    <w:rsid w:val="003A648F"/>
    <w:rsid w:val="003D68F2"/>
    <w:rsid w:val="003E5991"/>
    <w:rsid w:val="003F0974"/>
    <w:rsid w:val="004176F0"/>
    <w:rsid w:val="004223A0"/>
    <w:rsid w:val="004815C0"/>
    <w:rsid w:val="004B405F"/>
    <w:rsid w:val="004C7567"/>
    <w:rsid w:val="00552978"/>
    <w:rsid w:val="00566AE9"/>
    <w:rsid w:val="00587882"/>
    <w:rsid w:val="005B3B3D"/>
    <w:rsid w:val="005B5BB3"/>
    <w:rsid w:val="005F14A0"/>
    <w:rsid w:val="005F7640"/>
    <w:rsid w:val="00612C34"/>
    <w:rsid w:val="00613E1D"/>
    <w:rsid w:val="00616FA9"/>
    <w:rsid w:val="00617119"/>
    <w:rsid w:val="00627F48"/>
    <w:rsid w:val="00631596"/>
    <w:rsid w:val="00635E04"/>
    <w:rsid w:val="0064573F"/>
    <w:rsid w:val="0067568E"/>
    <w:rsid w:val="00685BF8"/>
    <w:rsid w:val="006F4C86"/>
    <w:rsid w:val="00700662"/>
    <w:rsid w:val="007328E9"/>
    <w:rsid w:val="007679B2"/>
    <w:rsid w:val="007711B9"/>
    <w:rsid w:val="007849E1"/>
    <w:rsid w:val="00784B2A"/>
    <w:rsid w:val="00794B88"/>
    <w:rsid w:val="007E4C64"/>
    <w:rsid w:val="007E64F8"/>
    <w:rsid w:val="00802AFA"/>
    <w:rsid w:val="0082107D"/>
    <w:rsid w:val="00844EF9"/>
    <w:rsid w:val="008841CE"/>
    <w:rsid w:val="008C2B5D"/>
    <w:rsid w:val="008C5035"/>
    <w:rsid w:val="008D074E"/>
    <w:rsid w:val="008D205C"/>
    <w:rsid w:val="008E150A"/>
    <w:rsid w:val="00904D39"/>
    <w:rsid w:val="00946A5F"/>
    <w:rsid w:val="009609FC"/>
    <w:rsid w:val="00972622"/>
    <w:rsid w:val="009A74E1"/>
    <w:rsid w:val="009C538D"/>
    <w:rsid w:val="009D511E"/>
    <w:rsid w:val="009E176F"/>
    <w:rsid w:val="009E29D2"/>
    <w:rsid w:val="009F532D"/>
    <w:rsid w:val="009F7335"/>
    <w:rsid w:val="00A30C42"/>
    <w:rsid w:val="00A34E7F"/>
    <w:rsid w:val="00A46D6D"/>
    <w:rsid w:val="00A573D4"/>
    <w:rsid w:val="00A75958"/>
    <w:rsid w:val="00A82201"/>
    <w:rsid w:val="00AB544C"/>
    <w:rsid w:val="00AC53CC"/>
    <w:rsid w:val="00AE75B8"/>
    <w:rsid w:val="00AF0C56"/>
    <w:rsid w:val="00AF3443"/>
    <w:rsid w:val="00AF3EEE"/>
    <w:rsid w:val="00B42D74"/>
    <w:rsid w:val="00B54790"/>
    <w:rsid w:val="00B850E0"/>
    <w:rsid w:val="00BA4B2B"/>
    <w:rsid w:val="00BB7D73"/>
    <w:rsid w:val="00BF0024"/>
    <w:rsid w:val="00C1720B"/>
    <w:rsid w:val="00C22A86"/>
    <w:rsid w:val="00C279AE"/>
    <w:rsid w:val="00C41538"/>
    <w:rsid w:val="00C50512"/>
    <w:rsid w:val="00C543DC"/>
    <w:rsid w:val="00CA75D8"/>
    <w:rsid w:val="00CD1293"/>
    <w:rsid w:val="00CE24A1"/>
    <w:rsid w:val="00CE61FA"/>
    <w:rsid w:val="00CE6E38"/>
    <w:rsid w:val="00D002E9"/>
    <w:rsid w:val="00D01888"/>
    <w:rsid w:val="00D30769"/>
    <w:rsid w:val="00D5051F"/>
    <w:rsid w:val="00D645F8"/>
    <w:rsid w:val="00D66A50"/>
    <w:rsid w:val="00D75E29"/>
    <w:rsid w:val="00D854C8"/>
    <w:rsid w:val="00D95B40"/>
    <w:rsid w:val="00DC295F"/>
    <w:rsid w:val="00DC4C17"/>
    <w:rsid w:val="00DE2558"/>
    <w:rsid w:val="00DF4502"/>
    <w:rsid w:val="00E10333"/>
    <w:rsid w:val="00E15E80"/>
    <w:rsid w:val="00E30E1A"/>
    <w:rsid w:val="00E35E97"/>
    <w:rsid w:val="00E36599"/>
    <w:rsid w:val="00E512FD"/>
    <w:rsid w:val="00E5232A"/>
    <w:rsid w:val="00E57A61"/>
    <w:rsid w:val="00E75933"/>
    <w:rsid w:val="00EC61F9"/>
    <w:rsid w:val="00F16F17"/>
    <w:rsid w:val="00F44F60"/>
    <w:rsid w:val="00FB156D"/>
    <w:rsid w:val="00FC3A1A"/>
    <w:rsid w:val="00FC4BEB"/>
    <w:rsid w:val="00FD6F54"/>
    <w:rsid w:val="00FE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C0CAF"/>
  <w15:chartTrackingRefBased/>
  <w15:docId w15:val="{6EC45C74-04F3-4830-AA4B-209E927F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B3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3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3EEE"/>
  </w:style>
  <w:style w:type="paragraph" w:styleId="Stopka">
    <w:name w:val="footer"/>
    <w:basedOn w:val="Normalny"/>
    <w:link w:val="StopkaZnak"/>
    <w:uiPriority w:val="99"/>
    <w:unhideWhenUsed/>
    <w:rsid w:val="00AF3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EEE"/>
  </w:style>
  <w:style w:type="paragraph" w:styleId="Tekstprzypisudolnego">
    <w:name w:val="footnote text"/>
    <w:basedOn w:val="Normalny"/>
    <w:link w:val="TekstprzypisudolnegoZnak"/>
    <w:uiPriority w:val="99"/>
    <w:unhideWhenUsed/>
    <w:rsid w:val="0030189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0189E"/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0188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512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735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827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66971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408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1134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Syryjczyk</dc:creator>
  <cp:keywords/>
  <dc:description/>
  <cp:lastModifiedBy>Piotr Faryna</cp:lastModifiedBy>
  <cp:revision>3</cp:revision>
  <dcterms:created xsi:type="dcterms:W3CDTF">2024-09-10T08:41:00Z</dcterms:created>
  <dcterms:modified xsi:type="dcterms:W3CDTF">2024-09-10T08:48:00Z</dcterms:modified>
</cp:coreProperties>
</file>