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D7945" w14:textId="0CE4A0A9" w:rsidR="0063696A" w:rsidRPr="0007628B" w:rsidRDefault="00794B88" w:rsidP="0063696A">
      <w:pPr>
        <w:pStyle w:val="OZNRODZAKTUtznustawalubrozporzdzenieiorganwydajcy"/>
      </w:pPr>
      <w:r w:rsidRPr="00794B88">
        <w:rPr>
          <w:rFonts w:ascii="Arial" w:hAnsi="Arial" w:cs="Arial"/>
        </w:rPr>
        <w:t xml:space="preserve">Projekt rozporządzenia Ministra </w:t>
      </w:r>
      <w:r w:rsidR="0063696A">
        <w:t>FUNDUSZY I POLITYKI REGIONALNEj</w:t>
      </w:r>
    </w:p>
    <w:p w14:paraId="59A200BD" w14:textId="77777777" w:rsidR="0063696A" w:rsidRPr="0007628B" w:rsidRDefault="0063696A" w:rsidP="0063696A">
      <w:pPr>
        <w:pStyle w:val="DATAAKTUdatauchwalenialubwydaniaaktu"/>
      </w:pPr>
      <w:r w:rsidRPr="0007628B">
        <w:t>z dnia ……. 202</w:t>
      </w:r>
      <w:r>
        <w:t>4</w:t>
      </w:r>
      <w:r w:rsidRPr="0007628B">
        <w:t> r.</w:t>
      </w:r>
    </w:p>
    <w:p w14:paraId="3AEBA8EA" w14:textId="77777777" w:rsidR="00B55629" w:rsidRDefault="0063696A" w:rsidP="00B55629">
      <w:pPr>
        <w:pStyle w:val="TYTUAKTUprzedmiotregulacjiustawylubrozporzdzenia"/>
      </w:pPr>
      <w:bookmarkStart w:id="0" w:name="_Hlk141097363"/>
      <w:r w:rsidRPr="0007628B">
        <w:t xml:space="preserve">w </w:t>
      </w:r>
      <w:bookmarkStart w:id="1" w:name="_Hlk166738379"/>
      <w:r w:rsidRPr="0007628B">
        <w:t xml:space="preserve">sprawie pomocy publicznej </w:t>
      </w:r>
      <w:r w:rsidRPr="00622DE6">
        <w:t xml:space="preserve">na realizację </w:t>
      </w:r>
      <w:r>
        <w:t>projektów</w:t>
      </w:r>
      <w:r w:rsidRPr="00622DE6">
        <w:t xml:space="preserve"> </w:t>
      </w:r>
      <w:r w:rsidRPr="00D838C8">
        <w:t>w zakresie wyposażenia pojazdów kolejowych z napędem lub z kabiną sterowniczą w system ERTMS</w:t>
      </w:r>
      <w:r w:rsidRPr="00622DE6">
        <w:t xml:space="preserve"> w ramach programu Fundusze Europejskie na Infrastrukturę, Klimat, Środowisko 2021</w:t>
      </w:r>
      <w:r w:rsidRPr="0007628B">
        <w:t>–</w:t>
      </w:r>
      <w:r w:rsidRPr="00622DE6">
        <w:t>2027</w:t>
      </w:r>
      <w:bookmarkEnd w:id="0"/>
      <w:bookmarkEnd w:id="1"/>
    </w:p>
    <w:p w14:paraId="5F5F86B9" w14:textId="22D61126" w:rsidR="000B1828" w:rsidRPr="00B55629" w:rsidRDefault="000B1828" w:rsidP="00B55629">
      <w:pPr>
        <w:pStyle w:val="TYTUAKTUprzedmiotregulacjiustawylubrozporzdzenia"/>
      </w:pPr>
      <w:r w:rsidRPr="000B1828">
        <w:rPr>
          <w:rFonts w:ascii="Arial" w:hAnsi="Arial"/>
          <w:iCs/>
        </w:rPr>
        <w:t xml:space="preserve">Uwagi Forum Kolejowego </w:t>
      </w:r>
      <w:r w:rsidRPr="0029715B">
        <w:rPr>
          <w:rFonts w:ascii="Arial" w:hAnsi="Arial"/>
          <w:iCs/>
        </w:rPr>
        <w:t>RBF</w:t>
      </w:r>
      <w:r w:rsidRPr="000B1828">
        <w:rPr>
          <w:rFonts w:ascii="Arial" w:hAnsi="Arial"/>
          <w:iCs/>
        </w:rPr>
        <w:t xml:space="preserve"> do wersji z dnia </w:t>
      </w:r>
      <w:r w:rsidR="00B55629">
        <w:rPr>
          <w:rFonts w:ascii="Arial" w:hAnsi="Arial"/>
          <w:iCs/>
        </w:rPr>
        <w:t xml:space="preserve">2 września </w:t>
      </w:r>
      <w:r w:rsidRPr="0029715B">
        <w:rPr>
          <w:rFonts w:ascii="Arial" w:hAnsi="Arial"/>
          <w:iCs/>
        </w:rPr>
        <w:t>2024</w:t>
      </w:r>
    </w:p>
    <w:tbl>
      <w:tblPr>
        <w:tblStyle w:val="Tabela-Siatka"/>
        <w:tblW w:w="0" w:type="auto"/>
        <w:tblLook w:val="04A0" w:firstRow="1" w:lastRow="0" w:firstColumn="1" w:lastColumn="0" w:noHBand="0" w:noVBand="1"/>
      </w:tblPr>
      <w:tblGrid>
        <w:gridCol w:w="576"/>
        <w:gridCol w:w="1829"/>
        <w:gridCol w:w="5973"/>
        <w:gridCol w:w="4321"/>
        <w:gridCol w:w="2689"/>
      </w:tblGrid>
      <w:tr w:rsidR="0016208E" w:rsidRPr="00794B88" w14:paraId="3CB8175D" w14:textId="77777777" w:rsidTr="00617119">
        <w:trPr>
          <w:trHeight w:val="851"/>
        </w:trPr>
        <w:tc>
          <w:tcPr>
            <w:tcW w:w="576" w:type="dxa"/>
            <w:vAlign w:val="center"/>
          </w:tcPr>
          <w:p w14:paraId="3578DADE" w14:textId="77777777" w:rsidR="0016208E" w:rsidRPr="00844F5D" w:rsidRDefault="0016208E" w:rsidP="00794B88">
            <w:pPr>
              <w:jc w:val="center"/>
              <w:rPr>
                <w:rFonts w:ascii="Arial" w:hAnsi="Arial" w:cs="Arial"/>
                <w:b/>
                <w:szCs w:val="20"/>
              </w:rPr>
            </w:pPr>
            <w:r w:rsidRPr="00844F5D">
              <w:rPr>
                <w:rFonts w:ascii="Arial" w:hAnsi="Arial" w:cs="Arial"/>
                <w:b/>
                <w:szCs w:val="20"/>
              </w:rPr>
              <w:t>Lp.</w:t>
            </w:r>
          </w:p>
        </w:tc>
        <w:tc>
          <w:tcPr>
            <w:tcW w:w="1829" w:type="dxa"/>
            <w:vAlign w:val="center"/>
          </w:tcPr>
          <w:p w14:paraId="78715581" w14:textId="77777777" w:rsidR="0016208E" w:rsidRPr="00844F5D" w:rsidRDefault="0016208E" w:rsidP="0016208E">
            <w:pPr>
              <w:jc w:val="center"/>
              <w:rPr>
                <w:rFonts w:ascii="Arial" w:hAnsi="Arial" w:cs="Arial"/>
                <w:b/>
                <w:szCs w:val="20"/>
              </w:rPr>
            </w:pPr>
            <w:r w:rsidRPr="00844F5D">
              <w:rPr>
                <w:rFonts w:ascii="Arial" w:hAnsi="Arial" w:cs="Arial"/>
                <w:b/>
                <w:szCs w:val="20"/>
              </w:rPr>
              <w:t>Jednostka redakcyjna</w:t>
            </w:r>
          </w:p>
        </w:tc>
        <w:tc>
          <w:tcPr>
            <w:tcW w:w="5973" w:type="dxa"/>
            <w:vAlign w:val="center"/>
          </w:tcPr>
          <w:p w14:paraId="2EEA346B" w14:textId="77777777" w:rsidR="0016208E" w:rsidRPr="00844F5D" w:rsidRDefault="0016208E" w:rsidP="0016208E">
            <w:pPr>
              <w:jc w:val="center"/>
              <w:rPr>
                <w:rFonts w:ascii="Arial" w:hAnsi="Arial" w:cs="Arial"/>
                <w:b/>
                <w:szCs w:val="20"/>
              </w:rPr>
            </w:pPr>
            <w:r w:rsidRPr="00844F5D">
              <w:rPr>
                <w:rFonts w:ascii="Arial" w:hAnsi="Arial" w:cs="Arial"/>
                <w:b/>
                <w:szCs w:val="20"/>
              </w:rPr>
              <w:t>Treść uwagi lub propozycja zmiany przepisu</w:t>
            </w:r>
          </w:p>
        </w:tc>
        <w:tc>
          <w:tcPr>
            <w:tcW w:w="4321" w:type="dxa"/>
            <w:vAlign w:val="center"/>
          </w:tcPr>
          <w:p w14:paraId="69E9BEC4" w14:textId="77777777" w:rsidR="0016208E" w:rsidRPr="00844F5D" w:rsidRDefault="0016208E" w:rsidP="00794B88">
            <w:pPr>
              <w:jc w:val="center"/>
              <w:rPr>
                <w:rFonts w:ascii="Arial" w:hAnsi="Arial" w:cs="Arial"/>
                <w:b/>
                <w:szCs w:val="20"/>
              </w:rPr>
            </w:pPr>
            <w:r w:rsidRPr="00844F5D">
              <w:rPr>
                <w:rFonts w:ascii="Arial" w:hAnsi="Arial" w:cs="Arial"/>
                <w:b/>
                <w:szCs w:val="20"/>
              </w:rPr>
              <w:t>Uzasadnienie</w:t>
            </w:r>
          </w:p>
        </w:tc>
        <w:tc>
          <w:tcPr>
            <w:tcW w:w="2689" w:type="dxa"/>
            <w:vAlign w:val="center"/>
          </w:tcPr>
          <w:p w14:paraId="4748537F" w14:textId="77777777" w:rsidR="0016208E" w:rsidRPr="00844F5D" w:rsidRDefault="0016208E" w:rsidP="00794B88">
            <w:pPr>
              <w:jc w:val="center"/>
              <w:rPr>
                <w:rFonts w:ascii="Arial" w:hAnsi="Arial" w:cs="Arial"/>
                <w:b/>
                <w:szCs w:val="20"/>
              </w:rPr>
            </w:pPr>
            <w:r w:rsidRPr="00844F5D">
              <w:rPr>
                <w:rFonts w:ascii="Arial" w:hAnsi="Arial" w:cs="Arial"/>
                <w:b/>
                <w:szCs w:val="20"/>
              </w:rPr>
              <w:t>Szacunkowy koszt wdrożenia do ujęcia</w:t>
            </w:r>
            <w:r w:rsidRPr="00844F5D">
              <w:rPr>
                <w:rFonts w:ascii="Arial" w:hAnsi="Arial" w:cs="Arial"/>
                <w:b/>
                <w:szCs w:val="20"/>
              </w:rPr>
              <w:br/>
              <w:t>w OSR</w:t>
            </w:r>
          </w:p>
        </w:tc>
      </w:tr>
      <w:tr w:rsidR="0016208E" w14:paraId="55D57684" w14:textId="77777777" w:rsidTr="00617119">
        <w:trPr>
          <w:trHeight w:val="851"/>
        </w:trPr>
        <w:tc>
          <w:tcPr>
            <w:tcW w:w="576" w:type="dxa"/>
          </w:tcPr>
          <w:p w14:paraId="1AB3DC36" w14:textId="77777777" w:rsidR="0016208E" w:rsidRDefault="000855CC" w:rsidP="00844F5D">
            <w:pPr>
              <w:jc w:val="center"/>
            </w:pPr>
            <w:r>
              <w:t>1</w:t>
            </w:r>
          </w:p>
          <w:p w14:paraId="7D6517A8" w14:textId="4C335010" w:rsidR="000855CC" w:rsidRDefault="000855CC" w:rsidP="00844F5D">
            <w:pPr>
              <w:jc w:val="center"/>
            </w:pPr>
          </w:p>
        </w:tc>
        <w:tc>
          <w:tcPr>
            <w:tcW w:w="1829" w:type="dxa"/>
          </w:tcPr>
          <w:p w14:paraId="2A49962C" w14:textId="7A4D05A6" w:rsidR="0016208E" w:rsidRDefault="00B55629" w:rsidP="00844F5D">
            <w:r>
              <w:t>Ogóle</w:t>
            </w:r>
            <w:r w:rsidR="005C19B9">
              <w:t xml:space="preserve"> uwagi</w:t>
            </w:r>
            <w:r w:rsidR="00B116AF">
              <w:t xml:space="preserve"> </w:t>
            </w:r>
          </w:p>
        </w:tc>
        <w:tc>
          <w:tcPr>
            <w:tcW w:w="5973" w:type="dxa"/>
          </w:tcPr>
          <w:p w14:paraId="0870D856" w14:textId="77777777" w:rsidR="00917F9F" w:rsidRDefault="00917F9F" w:rsidP="00844F5D"/>
          <w:p w14:paraId="1ABD4A2F" w14:textId="159F299B" w:rsidR="00746D7A" w:rsidRDefault="005C19B9" w:rsidP="00844F5D">
            <w:pPr>
              <w:rPr>
                <w:iCs/>
              </w:rPr>
            </w:pPr>
            <w:r w:rsidRPr="005C19B9">
              <w:t xml:space="preserve">W porównaniu do </w:t>
            </w:r>
            <w:r>
              <w:t xml:space="preserve">projektu </w:t>
            </w:r>
            <w:r w:rsidR="007A7BC0">
              <w:t>Rozporządzanie</w:t>
            </w:r>
            <w:r w:rsidR="00897AD7">
              <w:t xml:space="preserve"> </w:t>
            </w:r>
            <w:r w:rsidR="007A7BC0" w:rsidRPr="00C1332A">
              <w:rPr>
                <w:i/>
              </w:rPr>
              <w:t xml:space="preserve">Ministra Infrastruktury </w:t>
            </w:r>
            <w:r w:rsidR="007A7BC0">
              <w:t>w</w:t>
            </w:r>
            <w:r w:rsidR="007A7BC0" w:rsidRPr="00190A96">
              <w:rPr>
                <w:i/>
              </w:rPr>
              <w:t xml:space="preserve"> sprawie udzielania pomocy publicznej w zakresie wyposażenia pojazdów kolejowych z napędem w system ERTMS w ramach Krajowego Planu Odbudowy i Zwiększania Odporności</w:t>
            </w:r>
            <w:r w:rsidR="007A7BC0">
              <w:rPr>
                <w:i/>
              </w:rPr>
              <w:t xml:space="preserve"> </w:t>
            </w:r>
            <w:r w:rsidR="007A7BC0">
              <w:rPr>
                <w:iCs/>
              </w:rPr>
              <w:t xml:space="preserve">konsultowanego w 2023 roku </w:t>
            </w:r>
            <w:r w:rsidR="00267615">
              <w:rPr>
                <w:iCs/>
              </w:rPr>
              <w:t>słusznie poszerzono zakres o właścicieli pojazdów z kabin</w:t>
            </w:r>
            <w:r w:rsidR="004D6A40">
              <w:rPr>
                <w:iCs/>
              </w:rPr>
              <w:t>ą</w:t>
            </w:r>
            <w:r w:rsidR="00267615">
              <w:rPr>
                <w:iCs/>
              </w:rPr>
              <w:t xml:space="preserve"> sterownicza oraz właścicieli a nie tylko przewoźników. </w:t>
            </w:r>
          </w:p>
          <w:p w14:paraId="2537E34B" w14:textId="77777777" w:rsidR="00746D7A" w:rsidRDefault="007A5F34" w:rsidP="00844F5D">
            <w:pPr>
              <w:rPr>
                <w:iCs/>
              </w:rPr>
            </w:pPr>
            <w:r>
              <w:rPr>
                <w:iCs/>
              </w:rPr>
              <w:t xml:space="preserve">Wprowadzono także zapis o rejestracji </w:t>
            </w:r>
            <w:r w:rsidR="002E15F5">
              <w:rPr>
                <w:iCs/>
              </w:rPr>
              <w:t>w EV</w:t>
            </w:r>
            <w:r w:rsidR="00746D7A">
              <w:rPr>
                <w:iCs/>
              </w:rPr>
              <w:t>R.</w:t>
            </w:r>
          </w:p>
          <w:p w14:paraId="7BDCE272" w14:textId="6CDFBFD8" w:rsidR="007A7BC0" w:rsidRDefault="00746D7A" w:rsidP="00844F5D">
            <w:r>
              <w:rPr>
                <w:iCs/>
              </w:rPr>
              <w:t>Zniesiono wymóg kursowania po liniach wyposażonych w ERMTS – właściciel pojaz</w:t>
            </w:r>
            <w:r>
              <w:t xml:space="preserve">du nie jest w stanie przewidzieć miejsc eksploatacji, a nawet gdy są publikowane plany to </w:t>
            </w:r>
            <w:r w:rsidR="00440FE9">
              <w:t xml:space="preserve">właściciel pojazdu nie powinien odpowiadać za ich niezrealizowanie. </w:t>
            </w:r>
            <w:r>
              <w:t xml:space="preserve"> </w:t>
            </w:r>
          </w:p>
          <w:p w14:paraId="6412DF7D" w14:textId="26E5D99B" w:rsidR="00844F5D" w:rsidRPr="007A7BC0" w:rsidRDefault="00844F5D" w:rsidP="00844F5D">
            <w:pPr>
              <w:rPr>
                <w:iCs/>
              </w:rPr>
            </w:pPr>
            <w:r>
              <w:rPr>
                <w:iCs/>
              </w:rPr>
              <w:t xml:space="preserve">Większość zgłaszanych wtedy uwag FK RBF jest </w:t>
            </w:r>
            <w:r w:rsidR="004D6A40">
              <w:rPr>
                <w:iCs/>
              </w:rPr>
              <w:t xml:space="preserve">nieaktualna. </w:t>
            </w:r>
          </w:p>
        </w:tc>
        <w:tc>
          <w:tcPr>
            <w:tcW w:w="4321" w:type="dxa"/>
          </w:tcPr>
          <w:p w14:paraId="43149F84" w14:textId="4CDC7DC5" w:rsidR="0016208E" w:rsidRDefault="0016208E" w:rsidP="00844F5D"/>
        </w:tc>
        <w:tc>
          <w:tcPr>
            <w:tcW w:w="2689" w:type="dxa"/>
          </w:tcPr>
          <w:p w14:paraId="09387462" w14:textId="77777777" w:rsidR="0016208E" w:rsidRDefault="0016208E" w:rsidP="00844F5D"/>
        </w:tc>
      </w:tr>
      <w:tr w:rsidR="002123D7" w14:paraId="3F48971D" w14:textId="77777777" w:rsidTr="00617119">
        <w:trPr>
          <w:trHeight w:val="851"/>
        </w:trPr>
        <w:tc>
          <w:tcPr>
            <w:tcW w:w="576" w:type="dxa"/>
          </w:tcPr>
          <w:p w14:paraId="53643B73" w14:textId="5ED9FACA" w:rsidR="002123D7" w:rsidRDefault="002123D7" w:rsidP="00844F5D">
            <w:pPr>
              <w:jc w:val="center"/>
            </w:pPr>
            <w:r>
              <w:t>2</w:t>
            </w:r>
          </w:p>
        </w:tc>
        <w:tc>
          <w:tcPr>
            <w:tcW w:w="1829" w:type="dxa"/>
          </w:tcPr>
          <w:p w14:paraId="47497DCC" w14:textId="447094B3" w:rsidR="002123D7" w:rsidRDefault="002123D7" w:rsidP="00844F5D">
            <w:r>
              <w:t>§</w:t>
            </w:r>
            <w:r w:rsidR="00D374EB">
              <w:t xml:space="preserve">2 ust. 1 </w:t>
            </w:r>
          </w:p>
        </w:tc>
        <w:tc>
          <w:tcPr>
            <w:tcW w:w="5973" w:type="dxa"/>
          </w:tcPr>
          <w:p w14:paraId="696BDED6" w14:textId="6E656F1C" w:rsidR="002123D7" w:rsidRDefault="00D374EB" w:rsidP="00844F5D">
            <w:r>
              <w:t xml:space="preserve">W tym i kolejnych miejscach proponujemy </w:t>
            </w:r>
            <w:r w:rsidR="008A2589">
              <w:t>stosować</w:t>
            </w:r>
            <w:r>
              <w:t xml:space="preserve"> w miejsce </w:t>
            </w:r>
            <w:r w:rsidR="008A2589">
              <w:t xml:space="preserve">określenia </w:t>
            </w:r>
            <w:r w:rsidR="0038399D" w:rsidRPr="0038399D">
              <w:t>„wyposażeniu według wzorca 3 (</w:t>
            </w:r>
            <w:proofErr w:type="spellStart"/>
            <w:r w:rsidR="0038399D" w:rsidRPr="0038399D">
              <w:t>baseline</w:t>
            </w:r>
            <w:proofErr w:type="spellEnd"/>
            <w:r w:rsidR="0038399D" w:rsidRPr="0038399D">
              <w:t xml:space="preserve"> 3) lub wyższego”</w:t>
            </w:r>
            <w:r w:rsidR="0038399D">
              <w:t xml:space="preserve"> sformułowania </w:t>
            </w:r>
            <w:r w:rsidR="0038399D" w:rsidRPr="0038399D">
              <w:t>„</w:t>
            </w:r>
            <w:r w:rsidR="0038399D" w:rsidRPr="0038399D">
              <w:rPr>
                <w:b/>
                <w:bCs/>
              </w:rPr>
              <w:t>wyposażeniu według wersji systemu zgodnej z TSI CCS 2023</w:t>
            </w:r>
            <w:r w:rsidR="0038399D" w:rsidRPr="0038399D">
              <w:t>”</w:t>
            </w:r>
            <w:r w:rsidR="0038399D">
              <w:t xml:space="preserve">. </w:t>
            </w:r>
          </w:p>
        </w:tc>
        <w:tc>
          <w:tcPr>
            <w:tcW w:w="4321" w:type="dxa"/>
          </w:tcPr>
          <w:p w14:paraId="6A50AEE0" w14:textId="75740B8E" w:rsidR="002123D7" w:rsidRDefault="00453DD5" w:rsidP="00844F5D">
            <w:r w:rsidRPr="00453DD5">
              <w:t xml:space="preserve">Należy mieć na uwadze, że w 2023 roku weszły w życie Nowe Techniczne Specyfikacje Interoperacyjności w zakresie podsystemu „Sterowanie” TSI CCS 2023, które wprowadziły nowe nazewnictwo (nie używa się już bowiem określenia </w:t>
            </w:r>
            <w:proofErr w:type="spellStart"/>
            <w:r w:rsidRPr="00453DD5">
              <w:t>baseline</w:t>
            </w:r>
            <w:proofErr w:type="spellEnd"/>
            <w:r w:rsidRPr="00453DD5">
              <w:t>, tylko operuje się wersjami systemu).  </w:t>
            </w:r>
          </w:p>
        </w:tc>
        <w:tc>
          <w:tcPr>
            <w:tcW w:w="2689" w:type="dxa"/>
          </w:tcPr>
          <w:p w14:paraId="3451C03C" w14:textId="77777777" w:rsidR="002123D7" w:rsidRDefault="002123D7" w:rsidP="00844F5D"/>
        </w:tc>
      </w:tr>
      <w:tr w:rsidR="00751307" w14:paraId="330B17B3" w14:textId="77777777" w:rsidTr="00617119">
        <w:trPr>
          <w:trHeight w:val="851"/>
        </w:trPr>
        <w:tc>
          <w:tcPr>
            <w:tcW w:w="576" w:type="dxa"/>
          </w:tcPr>
          <w:p w14:paraId="5E062202" w14:textId="4B98F043" w:rsidR="00751307" w:rsidRDefault="00751307" w:rsidP="00844F5D">
            <w:pPr>
              <w:jc w:val="center"/>
            </w:pPr>
            <w:r>
              <w:lastRenderedPageBreak/>
              <w:t>3</w:t>
            </w:r>
          </w:p>
        </w:tc>
        <w:tc>
          <w:tcPr>
            <w:tcW w:w="1829" w:type="dxa"/>
          </w:tcPr>
          <w:p w14:paraId="2C53A163" w14:textId="5E41D4AC" w:rsidR="00751307" w:rsidRDefault="00751307" w:rsidP="00844F5D">
            <w:r>
              <w:t xml:space="preserve">§2 ust. 2 zdanie </w:t>
            </w:r>
            <w:r w:rsidR="00DF4546">
              <w:t>wprowadzające</w:t>
            </w:r>
          </w:p>
        </w:tc>
        <w:tc>
          <w:tcPr>
            <w:tcW w:w="5973" w:type="dxa"/>
          </w:tcPr>
          <w:p w14:paraId="1F6313B5" w14:textId="529C4068" w:rsidR="00751307" w:rsidRDefault="00DF4546" w:rsidP="00844F5D">
            <w:r>
              <w:t xml:space="preserve">Proponujemy </w:t>
            </w:r>
            <w:r w:rsidR="006527F9">
              <w:t xml:space="preserve">złagodzenie warunku 35 lat. Właściciel pojazdów pokrywają cześć kosztów i sami mogą </w:t>
            </w:r>
            <w:r w:rsidR="00910408">
              <w:t>ocenić,</w:t>
            </w:r>
            <w:r w:rsidR="006527F9">
              <w:t xml:space="preserve"> czy </w:t>
            </w:r>
            <w:r w:rsidR="00657E3B">
              <w:t xml:space="preserve">jest sens inwestować w pojazdy </w:t>
            </w:r>
            <w:r w:rsidR="000973A4">
              <w:t>starsze stosownie</w:t>
            </w:r>
            <w:r w:rsidR="00657E3B">
              <w:t xml:space="preserve"> do ich stanu </w:t>
            </w:r>
            <w:r w:rsidR="000973A4">
              <w:t xml:space="preserve">i celowości ich użytkowania. </w:t>
            </w:r>
          </w:p>
        </w:tc>
        <w:tc>
          <w:tcPr>
            <w:tcW w:w="4321" w:type="dxa"/>
          </w:tcPr>
          <w:p w14:paraId="3F446451" w14:textId="7E74389D" w:rsidR="000973A4" w:rsidRPr="000973A4" w:rsidRDefault="000973A4" w:rsidP="000973A4">
            <w:r>
              <w:t>S</w:t>
            </w:r>
            <w:r w:rsidRPr="000973A4">
              <w:t xml:space="preserve">tare lokomotywy pełnią ogromną rolę w przebudowach i odbudowach linii kolejowych. Sprawdzają się tam idealnie na bocznicach. </w:t>
            </w:r>
          </w:p>
          <w:p w14:paraId="3DC949C6" w14:textId="77777777" w:rsidR="000973A4" w:rsidRPr="000973A4" w:rsidRDefault="000973A4" w:rsidP="000973A4">
            <w:r w:rsidRPr="000973A4">
              <w:t xml:space="preserve">Odcięcie pewnej grupy posiadaczy lokomotyw narazi ich na większe koszty lub na brak możliwości korzystania z ERTMS. </w:t>
            </w:r>
          </w:p>
          <w:p w14:paraId="36F7B7D5" w14:textId="57FEC573" w:rsidR="00751307" w:rsidRPr="00453DD5" w:rsidRDefault="000973A4" w:rsidP="000973A4">
            <w:r w:rsidRPr="000973A4">
              <w:t xml:space="preserve">To też przełoży się na większe koszty wynajmowania takich lokomotyw. </w:t>
            </w:r>
          </w:p>
        </w:tc>
        <w:tc>
          <w:tcPr>
            <w:tcW w:w="2689" w:type="dxa"/>
          </w:tcPr>
          <w:p w14:paraId="58543F3E" w14:textId="77777777" w:rsidR="00751307" w:rsidRDefault="00751307" w:rsidP="00844F5D"/>
        </w:tc>
      </w:tr>
      <w:tr w:rsidR="001A1DC3" w14:paraId="52E6458D" w14:textId="77777777" w:rsidTr="00617119">
        <w:trPr>
          <w:trHeight w:val="851"/>
        </w:trPr>
        <w:tc>
          <w:tcPr>
            <w:tcW w:w="576" w:type="dxa"/>
          </w:tcPr>
          <w:p w14:paraId="2E5E17CB" w14:textId="67072622" w:rsidR="001A1DC3" w:rsidRDefault="001A1DC3" w:rsidP="00844F5D">
            <w:pPr>
              <w:jc w:val="center"/>
            </w:pPr>
            <w:r>
              <w:t>4</w:t>
            </w:r>
          </w:p>
        </w:tc>
        <w:tc>
          <w:tcPr>
            <w:tcW w:w="1829" w:type="dxa"/>
          </w:tcPr>
          <w:p w14:paraId="6AC3A048" w14:textId="2A32AFE6" w:rsidR="001A1DC3" w:rsidRDefault="001A1DC3" w:rsidP="00844F5D">
            <w:r>
              <w:t>§</w:t>
            </w:r>
            <w:r w:rsidR="00C265F6">
              <w:t xml:space="preserve">2 ust. 2 pkt. </w:t>
            </w:r>
            <w:r w:rsidR="00AC3D38">
              <w:t>2)</w:t>
            </w:r>
          </w:p>
        </w:tc>
        <w:tc>
          <w:tcPr>
            <w:tcW w:w="5973" w:type="dxa"/>
          </w:tcPr>
          <w:p w14:paraId="6DE8ECAE" w14:textId="10510F27" w:rsidR="001A1DC3" w:rsidRDefault="00AC3D38" w:rsidP="00844F5D">
            <w:r>
              <w:t xml:space="preserve">Budzi wątpliwość czy modyfikacja polegająca na </w:t>
            </w:r>
            <w:r w:rsidR="00566EBE">
              <w:t>zamontowaniu klimatyzacji</w:t>
            </w:r>
            <w:r>
              <w:t xml:space="preserve"> </w:t>
            </w:r>
            <w:r w:rsidR="00134AE8">
              <w:t xml:space="preserve">także powinna być kwalifikowana jako </w:t>
            </w:r>
            <w:r w:rsidR="007959FA">
              <w:t xml:space="preserve">odnowienie </w:t>
            </w:r>
            <w:r w:rsidR="00460849">
              <w:t xml:space="preserve">eliminujące z możliwości wsparcia określonego w Rozporządzeniu. </w:t>
            </w:r>
            <w:r w:rsidR="00134AE8">
              <w:t xml:space="preserve"> </w:t>
            </w:r>
          </w:p>
        </w:tc>
        <w:tc>
          <w:tcPr>
            <w:tcW w:w="4321" w:type="dxa"/>
          </w:tcPr>
          <w:p w14:paraId="1BCCB916" w14:textId="77777777" w:rsidR="001A1DC3" w:rsidRDefault="001A1DC3" w:rsidP="000973A4"/>
        </w:tc>
        <w:tc>
          <w:tcPr>
            <w:tcW w:w="2689" w:type="dxa"/>
          </w:tcPr>
          <w:p w14:paraId="17E54DCC" w14:textId="77777777" w:rsidR="001A1DC3" w:rsidRDefault="001A1DC3" w:rsidP="00844F5D"/>
        </w:tc>
      </w:tr>
      <w:tr w:rsidR="00617119" w14:paraId="67E79710" w14:textId="77777777" w:rsidTr="00617119">
        <w:trPr>
          <w:trHeight w:val="851"/>
        </w:trPr>
        <w:tc>
          <w:tcPr>
            <w:tcW w:w="576" w:type="dxa"/>
          </w:tcPr>
          <w:p w14:paraId="79309884" w14:textId="7818128D" w:rsidR="00617119" w:rsidRDefault="001A1DC3" w:rsidP="00844F5D">
            <w:pPr>
              <w:jc w:val="center"/>
            </w:pPr>
            <w:r>
              <w:t>5</w:t>
            </w:r>
          </w:p>
        </w:tc>
        <w:tc>
          <w:tcPr>
            <w:tcW w:w="1829" w:type="dxa"/>
          </w:tcPr>
          <w:p w14:paraId="5857F5BD" w14:textId="19E0EAE0" w:rsidR="00617119" w:rsidRDefault="003C271A" w:rsidP="00844F5D">
            <w:r>
              <w:t xml:space="preserve">§4 ust. 1 – proponujemy dodać pkt. 6) </w:t>
            </w:r>
            <w:r w:rsidR="008C4679">
              <w:t xml:space="preserve"> </w:t>
            </w:r>
          </w:p>
        </w:tc>
        <w:tc>
          <w:tcPr>
            <w:tcW w:w="5973" w:type="dxa"/>
          </w:tcPr>
          <w:p w14:paraId="78B644A1" w14:textId="77777777" w:rsidR="00041E31" w:rsidRDefault="00041E31" w:rsidP="00844F5D">
            <w:pPr>
              <w:rPr>
                <w:b/>
                <w:bCs/>
              </w:rPr>
            </w:pPr>
          </w:p>
          <w:p w14:paraId="742716BF" w14:textId="09E7C7C3" w:rsidR="00041E31" w:rsidRPr="00CD56B0" w:rsidRDefault="00041E31" w:rsidP="00844F5D">
            <w:pPr>
              <w:rPr>
                <w:b/>
                <w:bCs/>
              </w:rPr>
            </w:pPr>
            <w:r w:rsidRPr="00CD56B0">
              <w:rPr>
                <w:b/>
                <w:bCs/>
              </w:rPr>
              <w:t>„</w:t>
            </w:r>
            <w:r>
              <w:rPr>
                <w:b/>
                <w:bCs/>
              </w:rPr>
              <w:t xml:space="preserve"> 6) </w:t>
            </w:r>
            <w:r w:rsidRPr="00764308">
              <w:rPr>
                <w:b/>
                <w:bCs/>
              </w:rPr>
              <w:t>szkolenie personelu w zakresie obsługi i utrzymania systemu ERTMS</w:t>
            </w:r>
            <w:r>
              <w:rPr>
                <w:b/>
                <w:bCs/>
              </w:rPr>
              <w:t>.”</w:t>
            </w:r>
          </w:p>
          <w:p w14:paraId="417B422E" w14:textId="619033FB" w:rsidR="001600F8" w:rsidRPr="009D585B" w:rsidRDefault="001600F8" w:rsidP="00844F5D">
            <w:pPr>
              <w:rPr>
                <w:b/>
                <w:bCs/>
              </w:rPr>
            </w:pPr>
          </w:p>
        </w:tc>
        <w:tc>
          <w:tcPr>
            <w:tcW w:w="4321" w:type="dxa"/>
          </w:tcPr>
          <w:p w14:paraId="30A6B57B" w14:textId="2AA1CCD1" w:rsidR="007F3BB7" w:rsidRDefault="00041E31" w:rsidP="00844F5D">
            <w:r>
              <w:t xml:space="preserve">Taka możliwość był w projekcie z 2023 roku. Będą to </w:t>
            </w:r>
            <w:r w:rsidR="00011DF5">
              <w:t xml:space="preserve">istotne nakłady – konieczna jest przeszkolenie w zakresie obsługi urządzeń pokładowych oraz przepisów </w:t>
            </w:r>
            <w:r w:rsidR="009715B2">
              <w:t xml:space="preserve">– instrukcji dotyczących jazdy w systemie ETCS. </w:t>
            </w:r>
            <w:r w:rsidR="00CE2212">
              <w:t xml:space="preserve">Usunięcie tej możliwości nie jest uzasadnione. </w:t>
            </w:r>
          </w:p>
        </w:tc>
        <w:tc>
          <w:tcPr>
            <w:tcW w:w="2689" w:type="dxa"/>
          </w:tcPr>
          <w:p w14:paraId="068CF033" w14:textId="77777777" w:rsidR="00617119" w:rsidRDefault="00617119" w:rsidP="00844F5D"/>
        </w:tc>
      </w:tr>
      <w:tr w:rsidR="0028263D" w14:paraId="2EC58605" w14:textId="77777777" w:rsidTr="00617119">
        <w:trPr>
          <w:trHeight w:val="851"/>
        </w:trPr>
        <w:tc>
          <w:tcPr>
            <w:tcW w:w="576" w:type="dxa"/>
          </w:tcPr>
          <w:p w14:paraId="2F86AAD2" w14:textId="6AB32E2D" w:rsidR="0028263D" w:rsidRDefault="0028263D" w:rsidP="00844F5D">
            <w:pPr>
              <w:jc w:val="center"/>
            </w:pPr>
            <w:r>
              <w:t>6</w:t>
            </w:r>
          </w:p>
        </w:tc>
        <w:tc>
          <w:tcPr>
            <w:tcW w:w="1829" w:type="dxa"/>
          </w:tcPr>
          <w:p w14:paraId="5C54079D" w14:textId="7E488EB1" w:rsidR="0028263D" w:rsidRDefault="0028263D" w:rsidP="00844F5D">
            <w:r>
              <w:t>§</w:t>
            </w:r>
            <w:r w:rsidR="002D529D">
              <w:t xml:space="preserve">7 </w:t>
            </w:r>
          </w:p>
        </w:tc>
        <w:tc>
          <w:tcPr>
            <w:tcW w:w="5973" w:type="dxa"/>
          </w:tcPr>
          <w:p w14:paraId="1EB4FD43" w14:textId="4225DF5C" w:rsidR="0028263D" w:rsidRDefault="00023DF6" w:rsidP="00844F5D">
            <w:pPr>
              <w:rPr>
                <w:b/>
                <w:bCs/>
              </w:rPr>
            </w:pPr>
            <w:r>
              <w:rPr>
                <w:b/>
                <w:bCs/>
              </w:rPr>
              <w:t>Proponujemy</w:t>
            </w:r>
            <w:r w:rsidR="002D529D">
              <w:rPr>
                <w:b/>
                <w:bCs/>
              </w:rPr>
              <w:t xml:space="preserve"> usunąć </w:t>
            </w:r>
            <w:r>
              <w:rPr>
                <w:b/>
                <w:bCs/>
              </w:rPr>
              <w:t xml:space="preserve">frazę </w:t>
            </w:r>
            <w:r w:rsidR="004E0368">
              <w:rPr>
                <w:b/>
                <w:bCs/>
              </w:rPr>
              <w:t>„</w:t>
            </w:r>
            <w:r w:rsidR="004E0368" w:rsidRPr="003850C8">
              <w:t>nie dłużej jednak niż do dnia 30 czerwca 2026 r</w:t>
            </w:r>
            <w:r w:rsidR="004E0368">
              <w:t>”</w:t>
            </w:r>
          </w:p>
        </w:tc>
        <w:tc>
          <w:tcPr>
            <w:tcW w:w="4321" w:type="dxa"/>
          </w:tcPr>
          <w:p w14:paraId="2064A40C" w14:textId="339100A2" w:rsidR="0028263D" w:rsidRDefault="005840AD" w:rsidP="00844F5D">
            <w:r>
              <w:t xml:space="preserve">W </w:t>
            </w:r>
            <w:r w:rsidRPr="005840AD">
              <w:t>projekcie określono termin pomocy - do dnia 30 czerwca 2026 r.</w:t>
            </w:r>
            <w:r>
              <w:t xml:space="preserve"> T</w:t>
            </w:r>
            <w:r w:rsidRPr="005840AD">
              <w:t>ermin ten jest mało realistyczny, jeżeli weźmiemy pod uwagę czas trwania projektów (przygotowanie specyfikacji, wyłonienie wykonawcy, podpisanie umowy i realizację projektu; przygotowanie rozwiązania technicznego dla konkretnego typu pojazdów, dostawa urządzeń, montaż, testy i homologacja). Planowany nabór wniosków do konkursu na ERTMS przypada na 30.09.2025-30.11.2025, po czym wnioski muszą zostać ocenione a wybrane projekty powinny uzyskać decyzję KE.</w:t>
            </w:r>
          </w:p>
        </w:tc>
        <w:tc>
          <w:tcPr>
            <w:tcW w:w="2689" w:type="dxa"/>
          </w:tcPr>
          <w:p w14:paraId="4FF61662" w14:textId="77777777" w:rsidR="0028263D" w:rsidRDefault="0028263D" w:rsidP="00844F5D"/>
        </w:tc>
      </w:tr>
      <w:tr w:rsidR="00540E36" w14:paraId="62FD9CA9" w14:textId="77777777" w:rsidTr="00617119">
        <w:trPr>
          <w:trHeight w:val="851"/>
        </w:trPr>
        <w:tc>
          <w:tcPr>
            <w:tcW w:w="576" w:type="dxa"/>
          </w:tcPr>
          <w:p w14:paraId="7C35556E" w14:textId="366FE406" w:rsidR="00540E36" w:rsidRDefault="00540E36" w:rsidP="00844F5D">
            <w:pPr>
              <w:jc w:val="center"/>
            </w:pPr>
            <w:r>
              <w:lastRenderedPageBreak/>
              <w:t>7</w:t>
            </w:r>
          </w:p>
        </w:tc>
        <w:tc>
          <w:tcPr>
            <w:tcW w:w="1829" w:type="dxa"/>
          </w:tcPr>
          <w:p w14:paraId="251B63C2" w14:textId="555F07B9" w:rsidR="00540E36" w:rsidRDefault="008A1015" w:rsidP="00844F5D">
            <w:r>
              <w:t xml:space="preserve">Plik OSR </w:t>
            </w:r>
          </w:p>
        </w:tc>
        <w:tc>
          <w:tcPr>
            <w:tcW w:w="5973" w:type="dxa"/>
          </w:tcPr>
          <w:p w14:paraId="26CEDAA0" w14:textId="77777777" w:rsidR="00540E36" w:rsidRDefault="00540E36" w:rsidP="00844F5D">
            <w:pPr>
              <w:rPr>
                <w:b/>
                <w:bCs/>
              </w:rPr>
            </w:pPr>
          </w:p>
        </w:tc>
        <w:tc>
          <w:tcPr>
            <w:tcW w:w="4321" w:type="dxa"/>
          </w:tcPr>
          <w:p w14:paraId="68A5FB19" w14:textId="12E7B1EC" w:rsidR="00540E36" w:rsidRDefault="008A1015" w:rsidP="00844F5D">
            <w:r>
              <w:t>W złączeniu uwaga PKP IC dotycząca OSR</w:t>
            </w:r>
          </w:p>
        </w:tc>
        <w:tc>
          <w:tcPr>
            <w:tcW w:w="2689" w:type="dxa"/>
          </w:tcPr>
          <w:p w14:paraId="429ED928" w14:textId="77777777" w:rsidR="00540E36" w:rsidRDefault="00540E36" w:rsidP="00844F5D"/>
        </w:tc>
      </w:tr>
    </w:tbl>
    <w:p w14:paraId="5D482420" w14:textId="2A56B9C8" w:rsidR="001E2FC8" w:rsidRDefault="001E2FC8" w:rsidP="00844F5D"/>
    <w:p w14:paraId="0263848C" w14:textId="5BA860EB" w:rsidR="00D25EEC" w:rsidRDefault="00D25EEC" w:rsidP="00844F5D">
      <w:pPr>
        <w:rPr>
          <w:u w:val="single"/>
        </w:rPr>
      </w:pPr>
      <w:r w:rsidRPr="00D25EEC">
        <w:rPr>
          <w:u w:val="single"/>
        </w:rPr>
        <w:t xml:space="preserve">Załącznik pochodzący od PKP IC. </w:t>
      </w:r>
    </w:p>
    <w:p w14:paraId="3C71F546" w14:textId="5C47B953" w:rsidR="00D25EEC" w:rsidRPr="00D25EEC" w:rsidRDefault="00D25EEC" w:rsidP="00D25EEC">
      <w:pPr>
        <w:rPr>
          <w:u w:val="single"/>
        </w:rPr>
      </w:pPr>
      <w:r>
        <w:rPr>
          <w:u w:val="single"/>
        </w:rPr>
        <w:t>W</w:t>
      </w:r>
      <w:r w:rsidRPr="00D25EEC">
        <w:rPr>
          <w:u w:val="single"/>
        </w:rPr>
        <w:t xml:space="preserve"> pliku „Ocena Skutków Regulacji” pkt 6, Tabela: została wskazana kwota alokacji w wysokości 35 mln EUR:</w:t>
      </w:r>
    </w:p>
    <w:p w14:paraId="4A521232" w14:textId="56E65DB6" w:rsidR="00D25EEC" w:rsidRPr="00D25EEC" w:rsidRDefault="00D25EEC" w:rsidP="00D25EEC">
      <w:pPr>
        <w:ind w:left="720"/>
        <w:rPr>
          <w:u w:val="single"/>
        </w:rPr>
      </w:pPr>
      <w:r w:rsidRPr="00D25EEC">
        <w:rPr>
          <w:noProof/>
          <w:u w:val="single"/>
        </w:rPr>
        <w:drawing>
          <wp:inline distT="0" distB="0" distL="0" distR="0" wp14:anchorId="45BE9BF6" wp14:editId="5024FA92">
            <wp:extent cx="7877175" cy="3257550"/>
            <wp:effectExtent l="0" t="0" r="9525" b="0"/>
            <wp:docPr id="1450968862" name="Obraz 2" descr="Obraz zawierający tekst, zrzut ekranu, Czcionka, numer&#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968862" name="Obraz 2" descr="Obraz zawierający tekst, zrzut ekranu, Czcionka, numer&#10;&#10;Opis wygenerowany automatyczni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877175" cy="3257550"/>
                    </a:xfrm>
                    <a:prstGeom prst="rect">
                      <a:avLst/>
                    </a:prstGeom>
                    <a:noFill/>
                    <a:ln>
                      <a:noFill/>
                    </a:ln>
                  </pic:spPr>
                </pic:pic>
              </a:graphicData>
            </a:graphic>
          </wp:inline>
        </w:drawing>
      </w:r>
    </w:p>
    <w:p w14:paraId="4990F4E2" w14:textId="77777777" w:rsidR="00D25EEC" w:rsidRDefault="00D25EEC" w:rsidP="00D25EEC">
      <w:pPr>
        <w:rPr>
          <w:u w:val="single"/>
        </w:rPr>
      </w:pPr>
      <w:r w:rsidRPr="00D25EEC">
        <w:rPr>
          <w:u w:val="single"/>
        </w:rPr>
        <w:t xml:space="preserve">natomiast tabele finansowe (wersja obowiązująca od 28.06.2024 r.), dostępne na stronie programu </w:t>
      </w:r>
      <w:proofErr w:type="spellStart"/>
      <w:r w:rsidRPr="00D25EEC">
        <w:rPr>
          <w:u w:val="single"/>
        </w:rPr>
        <w:t>FEnIKS</w:t>
      </w:r>
      <w:proofErr w:type="spellEnd"/>
      <w:r w:rsidRPr="00D25EEC">
        <w:rPr>
          <w:u w:val="single"/>
        </w:rPr>
        <w:t xml:space="preserve"> (w zał., tabela nr 2, Priorytet: 5. Działanie: 5.5) wskazują na alokację w wysokości 45 mln EUR dla tej interwencji (kod 104 - Cyfryzacja transportu: transport kolejowy). Prośba o wyjaśnienie, z czego wynika różnica w kwotach.</w:t>
      </w:r>
    </w:p>
    <w:p w14:paraId="590A706A" w14:textId="77777777" w:rsidR="005A1FC8" w:rsidRPr="005A1FC8" w:rsidRDefault="005A1FC8" w:rsidP="00D25EEC"/>
    <w:p w14:paraId="6ABB314E" w14:textId="0D73428F" w:rsidR="005A1FC8" w:rsidRDefault="005A1FC8" w:rsidP="00D25EEC">
      <w:pPr>
        <w:rPr>
          <w:b/>
          <w:bCs/>
        </w:rPr>
      </w:pPr>
      <w:r w:rsidRPr="005A1FC8">
        <w:rPr>
          <w:b/>
          <w:bCs/>
        </w:rPr>
        <w:t>Dodatkowo  załączamy uwagi  przesłane przez SSK RAIL:</w:t>
      </w:r>
    </w:p>
    <w:p w14:paraId="2AAF58DA" w14:textId="77777777" w:rsidR="005A1FC8" w:rsidRPr="005A1FC8" w:rsidRDefault="005A1FC8" w:rsidP="00D25EEC">
      <w:pPr>
        <w:rPr>
          <w:b/>
          <w:bCs/>
        </w:rPr>
      </w:pPr>
    </w:p>
    <w:p w14:paraId="7F8D7F1D" w14:textId="77777777" w:rsidR="005A1FC8" w:rsidRPr="005A1FC8" w:rsidRDefault="005A1FC8" w:rsidP="005A1FC8">
      <w:r w:rsidRPr="005A1FC8">
        <w:lastRenderedPageBreak/>
        <w:t>1.</w:t>
      </w:r>
      <w:r w:rsidRPr="005A1FC8">
        <w:tab/>
        <w:t xml:space="preserve">Generalnie należy pozytywnie ocenić inicjatywę wsparcia przedsiębiorców (przewoźników i tzw. </w:t>
      </w:r>
      <w:proofErr w:type="spellStart"/>
      <w:r w:rsidRPr="005A1FC8">
        <w:t>pulle</w:t>
      </w:r>
      <w:proofErr w:type="spellEnd"/>
      <w:r w:rsidRPr="005A1FC8">
        <w:t xml:space="preserve"> taborowe) w zakresie wyposażenia pojazdów kolejowych z napędem lub z kabiną sterowniczą  w system ERTMS,</w:t>
      </w:r>
    </w:p>
    <w:p w14:paraId="72527C1A" w14:textId="77777777" w:rsidR="005A1FC8" w:rsidRPr="005A1FC8" w:rsidRDefault="005A1FC8" w:rsidP="005A1FC8">
      <w:r w:rsidRPr="005A1FC8">
        <w:t>2.</w:t>
      </w:r>
      <w:r w:rsidRPr="005A1FC8">
        <w:tab/>
        <w:t>Nie budzi wątpliwości zakres kosztów kwalifikowanych obejmujący zarówno elementy wyposażenia w system ERTMS oraz GSM-R a także proces związany potrzebą ponownej certyfikacji zmodernizowanych pojazdów,</w:t>
      </w:r>
    </w:p>
    <w:p w14:paraId="616FD6D2" w14:textId="77777777" w:rsidR="005A1FC8" w:rsidRPr="005A1FC8" w:rsidRDefault="005A1FC8" w:rsidP="005A1FC8">
      <w:r w:rsidRPr="005A1FC8">
        <w:t>3.</w:t>
      </w:r>
      <w:r w:rsidRPr="005A1FC8">
        <w:tab/>
        <w:t>Również stopień dofinansowania na poziomie 85% kosztów kwalifikowanych jest akceptowalny.</w:t>
      </w:r>
    </w:p>
    <w:p w14:paraId="1A912D5A" w14:textId="77777777" w:rsidR="005A1FC8" w:rsidRPr="005A1FC8" w:rsidRDefault="005A1FC8" w:rsidP="005A1FC8">
      <w:r w:rsidRPr="005A1FC8">
        <w:t>4.</w:t>
      </w:r>
      <w:r w:rsidRPr="005A1FC8">
        <w:tab/>
        <w:t>Ograniczenia w zakresie wieku pojazdów/czasu od P5 powodują dodatkowy impuls dla przedsiębiorców w zakresie podejmowania decyzji o „odmładzaniu” posiadanego taboru</w:t>
      </w:r>
    </w:p>
    <w:p w14:paraId="4E85A139" w14:textId="3D58429D" w:rsidR="005A1FC8" w:rsidRPr="005A1FC8" w:rsidRDefault="005A1FC8" w:rsidP="005A1FC8">
      <w:r w:rsidRPr="005A1FC8">
        <w:t>5.</w:t>
      </w:r>
      <w:r w:rsidRPr="005A1FC8">
        <w:tab/>
        <w:t>Pod rozwagę pod</w:t>
      </w:r>
      <w:r>
        <w:t>d</w:t>
      </w:r>
      <w:r w:rsidRPr="005A1FC8">
        <w:t>aj</w:t>
      </w:r>
      <w:r>
        <w:t>emy</w:t>
      </w:r>
      <w:r w:rsidRPr="005A1FC8">
        <w:t xml:space="preserve"> dwie  kwestie:</w:t>
      </w:r>
    </w:p>
    <w:p w14:paraId="7786E524" w14:textId="77777777" w:rsidR="005A1FC8" w:rsidRPr="005A1FC8" w:rsidRDefault="005A1FC8" w:rsidP="005A1FC8">
      <w:r w:rsidRPr="005A1FC8">
        <w:t>a)</w:t>
      </w:r>
      <w:r w:rsidRPr="005A1FC8">
        <w:tab/>
        <w:t>związaną z zapisaniem w rozporządzeniu mechanizmu zamrożenia kwot bazowych od których liczone jest dofinansowanie. Jak widać na przykładzie rynku mieszkaniowego, kolejne programy wsparcia konsumentów przekładały się na realny wzrost cen m2 mieszkań. Aby uniknąć podobnej sytuacji w regulowanym obszarze, gdzie wzrost popytu wpłynie na wzrost ceny być może wskazane jest przyjęcie cen z bieżącego roku, ewentualnie waloryzowanych o wskaźnik wzrostu cen w przemyśle.</w:t>
      </w:r>
    </w:p>
    <w:p w14:paraId="0D118354" w14:textId="6B413C5C" w:rsidR="005A1FC8" w:rsidRPr="005A1FC8" w:rsidRDefault="005A1FC8" w:rsidP="005A1FC8">
      <w:r w:rsidRPr="005A1FC8">
        <w:t>b)</w:t>
      </w:r>
      <w:r w:rsidRPr="005A1FC8">
        <w:tab/>
        <w:t>Być może w celu usprawnienia procesu powtórnej certyfikacji pojazdów przez zainteresowane podmioty a jest ich w sumie 160 należałoby zmienić tryb dopuszczenia do eksploatacji określonych rodzajów pojazdów kolejowych. Chodzi  o sytuacje w której, jeden typ pojazdu dla którego pierwotnie wydano jedno dopuszczenie do eksploatacji w wyniku przeprowadzanych przez lata modernizacji posiada nowe zezwolenie do eksploatacji  wydane dla producenta, wykonawcy modernizacji , użytkownika -  dopuszczające kolejny wariant pierwotnego pojazdu. Zgodnie z obecnie obowiązującymi przepisami każdy z tych nowych wariantów (popatrzcie ile jest wariantów SM42,EU07 itp.) będzie musiał przechodzić cały proces dopuszczenia do eksploatacji. Doprowadzi to do sytuacji w której dla pierwotnej EU07 przeprowadzonych będzie kilka postępowań o wydanie nowego zezwolenia na dopuszczenia. W tym wypadku czas i pieniądze będą ogromne.</w:t>
      </w:r>
    </w:p>
    <w:p w14:paraId="73E7DAB2" w14:textId="77777777" w:rsidR="005A1FC8" w:rsidRPr="005A1FC8" w:rsidRDefault="005A1FC8" w:rsidP="005A1FC8"/>
    <w:p w14:paraId="20BDCCD0" w14:textId="661C2D1E" w:rsidR="005A1FC8" w:rsidRPr="005A1FC8" w:rsidRDefault="005A1FC8" w:rsidP="005A1FC8">
      <w:r w:rsidRPr="005A1FC8">
        <w:t>6.</w:t>
      </w:r>
      <w:r w:rsidRPr="005A1FC8">
        <w:tab/>
        <w:t xml:space="preserve">Największe  wątpliwości budzi natomiast planowana pula środków pieniężnych przeznaczonych na wsparcie. W użytkowaniu jest około 5000 pojazdów kolejowych z napędem lub z kabiną sterowniczą  (dane za ubiegły rok z zestawienia UTK). Nie znam dokładnych danych dot. </w:t>
      </w:r>
      <w:proofErr w:type="spellStart"/>
      <w:r w:rsidRPr="005A1FC8">
        <w:t>wyłączeń</w:t>
      </w:r>
      <w:proofErr w:type="spellEnd"/>
      <w:r w:rsidRPr="005A1FC8">
        <w:t xml:space="preserve"> z programu dofinansowania ze względu na ograniczenia wiekowe, zakładam że może to być między 20 a 40% ogółu stanu taborowego (to też jest płynne w zależności od decyzji czy zmodernizowane w ostatnich 10 latach pojazdy np. EN57 uznamy jako  kwalifikujące się do wyposażenia w ERTMS). Aktualnie około 10% z ogółu taboru wyposażonych jest już w system ERTMS, większy jest odsetek pojazdów wyposażonych w GSM-R. Aktualny koszt wyposażenia jednego pojazdu w zależności od jego typu to ok. 250 - 400 tys. Euro plus koszty certyfikacji. Łatwo więc wyliczyć, że pula 150 mln. Zł przewidziana na lata 2021-2027 wystarczy na bardzo nikły odsetek pojazdów kwalifikujących się do modernizacji.</w:t>
      </w:r>
    </w:p>
    <w:p w14:paraId="6A99ADAD" w14:textId="77777777" w:rsidR="005A1FC8" w:rsidRDefault="005A1FC8" w:rsidP="00D25EEC">
      <w:pPr>
        <w:rPr>
          <w:u w:val="single"/>
        </w:rPr>
      </w:pPr>
    </w:p>
    <w:p w14:paraId="7447D5A6" w14:textId="77777777" w:rsidR="005A1FC8" w:rsidRDefault="005A1FC8" w:rsidP="00D25EEC">
      <w:pPr>
        <w:rPr>
          <w:u w:val="single"/>
        </w:rPr>
      </w:pPr>
    </w:p>
    <w:p w14:paraId="56EF4837" w14:textId="77777777" w:rsidR="005A1FC8" w:rsidRPr="00D25EEC" w:rsidRDefault="005A1FC8" w:rsidP="00D25EEC">
      <w:pPr>
        <w:rPr>
          <w:u w:val="single"/>
        </w:rPr>
      </w:pPr>
    </w:p>
    <w:p w14:paraId="076610CA" w14:textId="77777777" w:rsidR="00D25EEC" w:rsidRPr="00D25EEC" w:rsidRDefault="00D25EEC" w:rsidP="00844F5D">
      <w:pPr>
        <w:rPr>
          <w:u w:val="single"/>
        </w:rPr>
      </w:pPr>
    </w:p>
    <w:sectPr w:rsidR="00D25EEC" w:rsidRPr="00D25EEC" w:rsidSect="005B3B3D">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97957" w14:textId="77777777" w:rsidR="007A46FB" w:rsidRDefault="007A46FB" w:rsidP="00AF3EEE">
      <w:pPr>
        <w:spacing w:after="0" w:line="240" w:lineRule="auto"/>
      </w:pPr>
      <w:r>
        <w:separator/>
      </w:r>
    </w:p>
  </w:endnote>
  <w:endnote w:type="continuationSeparator" w:id="0">
    <w:p w14:paraId="38AF2854" w14:textId="77777777" w:rsidR="007A46FB" w:rsidRDefault="007A46FB" w:rsidP="00AF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5BC5E" w14:textId="77777777" w:rsidR="00AF3EEE" w:rsidRDefault="00AF3EE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1129E" w14:textId="77777777" w:rsidR="00AF3EEE" w:rsidRDefault="00AF3EE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29749" w14:textId="77777777" w:rsidR="00AF3EEE" w:rsidRDefault="00AF3E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A7C25" w14:textId="77777777" w:rsidR="007A46FB" w:rsidRDefault="007A46FB" w:rsidP="00AF3EEE">
      <w:pPr>
        <w:spacing w:after="0" w:line="240" w:lineRule="auto"/>
      </w:pPr>
      <w:r>
        <w:separator/>
      </w:r>
    </w:p>
  </w:footnote>
  <w:footnote w:type="continuationSeparator" w:id="0">
    <w:p w14:paraId="03694FBE" w14:textId="77777777" w:rsidR="007A46FB" w:rsidRDefault="007A46FB" w:rsidP="00AF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DAFBD" w14:textId="77777777" w:rsidR="00AF3EEE" w:rsidRDefault="00AF3EE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F76E3" w14:textId="77777777" w:rsidR="00AF3EEE" w:rsidRDefault="00AF3EE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08E99" w14:textId="77777777" w:rsidR="00AF3EEE" w:rsidRDefault="00AF3EE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25200"/>
    <w:multiLevelType w:val="hybridMultilevel"/>
    <w:tmpl w:val="ED628AC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3401E9"/>
    <w:multiLevelType w:val="hybridMultilevel"/>
    <w:tmpl w:val="FFFFFFFF"/>
    <w:lvl w:ilvl="0" w:tplc="FFFFFFFF">
      <w:start w:val="1"/>
      <w:numFmt w:val="decimal"/>
      <w:lvlText w:val="%1."/>
      <w:lvlJc w:val="left"/>
      <w:pPr>
        <w:ind w:left="1776" w:hanging="360"/>
      </w:pPr>
      <w:rPr>
        <w:rFonts w:cs="Times New Roman"/>
      </w:rPr>
    </w:lvl>
    <w:lvl w:ilvl="1" w:tplc="04150019">
      <w:start w:val="1"/>
      <w:numFmt w:val="lowerLetter"/>
      <w:lvlText w:val="%2."/>
      <w:lvlJc w:val="left"/>
      <w:pPr>
        <w:ind w:left="2496" w:hanging="360"/>
      </w:pPr>
      <w:rPr>
        <w:rFonts w:cs="Times New Roman"/>
      </w:rPr>
    </w:lvl>
    <w:lvl w:ilvl="2" w:tplc="0415001B">
      <w:start w:val="1"/>
      <w:numFmt w:val="lowerRoman"/>
      <w:lvlText w:val="%3."/>
      <w:lvlJc w:val="right"/>
      <w:pPr>
        <w:ind w:left="3216" w:hanging="180"/>
      </w:pPr>
      <w:rPr>
        <w:rFonts w:cs="Times New Roman"/>
      </w:rPr>
    </w:lvl>
    <w:lvl w:ilvl="3" w:tplc="0415000F">
      <w:start w:val="1"/>
      <w:numFmt w:val="decimal"/>
      <w:lvlText w:val="%4."/>
      <w:lvlJc w:val="left"/>
      <w:pPr>
        <w:ind w:left="3936" w:hanging="360"/>
      </w:pPr>
      <w:rPr>
        <w:rFonts w:cs="Times New Roman"/>
      </w:rPr>
    </w:lvl>
    <w:lvl w:ilvl="4" w:tplc="04150019">
      <w:start w:val="1"/>
      <w:numFmt w:val="lowerLetter"/>
      <w:lvlText w:val="%5."/>
      <w:lvlJc w:val="left"/>
      <w:pPr>
        <w:ind w:left="4656" w:hanging="360"/>
      </w:pPr>
      <w:rPr>
        <w:rFonts w:cs="Times New Roman"/>
      </w:rPr>
    </w:lvl>
    <w:lvl w:ilvl="5" w:tplc="0415001B">
      <w:start w:val="1"/>
      <w:numFmt w:val="lowerRoman"/>
      <w:lvlText w:val="%6."/>
      <w:lvlJc w:val="right"/>
      <w:pPr>
        <w:ind w:left="5376" w:hanging="180"/>
      </w:pPr>
      <w:rPr>
        <w:rFonts w:cs="Times New Roman"/>
      </w:rPr>
    </w:lvl>
    <w:lvl w:ilvl="6" w:tplc="0415000F">
      <w:start w:val="1"/>
      <w:numFmt w:val="decimal"/>
      <w:lvlText w:val="%7."/>
      <w:lvlJc w:val="left"/>
      <w:pPr>
        <w:ind w:left="6096" w:hanging="360"/>
      </w:pPr>
      <w:rPr>
        <w:rFonts w:cs="Times New Roman"/>
      </w:rPr>
    </w:lvl>
    <w:lvl w:ilvl="7" w:tplc="04150019">
      <w:start w:val="1"/>
      <w:numFmt w:val="lowerLetter"/>
      <w:lvlText w:val="%8."/>
      <w:lvlJc w:val="left"/>
      <w:pPr>
        <w:ind w:left="6816" w:hanging="360"/>
      </w:pPr>
      <w:rPr>
        <w:rFonts w:cs="Times New Roman"/>
      </w:rPr>
    </w:lvl>
    <w:lvl w:ilvl="8" w:tplc="0415001B">
      <w:start w:val="1"/>
      <w:numFmt w:val="lowerRoman"/>
      <w:lvlText w:val="%9."/>
      <w:lvlJc w:val="right"/>
      <w:pPr>
        <w:ind w:left="7536" w:hanging="180"/>
      </w:pPr>
      <w:rPr>
        <w:rFonts w:cs="Times New Roman"/>
      </w:rPr>
    </w:lvl>
  </w:abstractNum>
  <w:abstractNum w:abstractNumId="2" w15:restartNumberingAfterBreak="0">
    <w:nsid w:val="53384C9F"/>
    <w:multiLevelType w:val="multilevel"/>
    <w:tmpl w:val="5D40C9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30470018">
    <w:abstractNumId w:val="0"/>
  </w:num>
  <w:num w:numId="2" w16cid:durableId="1703240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4522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B3D"/>
    <w:rsid w:val="00006EA4"/>
    <w:rsid w:val="00007A14"/>
    <w:rsid w:val="00011DF5"/>
    <w:rsid w:val="0001226B"/>
    <w:rsid w:val="00023DF6"/>
    <w:rsid w:val="0003657A"/>
    <w:rsid w:val="00041E31"/>
    <w:rsid w:val="00071B49"/>
    <w:rsid w:val="00073E96"/>
    <w:rsid w:val="000855CC"/>
    <w:rsid w:val="00092965"/>
    <w:rsid w:val="000973A4"/>
    <w:rsid w:val="000A06AD"/>
    <w:rsid w:val="000A349D"/>
    <w:rsid w:val="000A64B7"/>
    <w:rsid w:val="000A6B59"/>
    <w:rsid w:val="000B1828"/>
    <w:rsid w:val="000C03B6"/>
    <w:rsid w:val="000C4B0D"/>
    <w:rsid w:val="000D630D"/>
    <w:rsid w:val="000E3565"/>
    <w:rsid w:val="000E582E"/>
    <w:rsid w:val="000F4E3C"/>
    <w:rsid w:val="00104AAB"/>
    <w:rsid w:val="0012152D"/>
    <w:rsid w:val="00123545"/>
    <w:rsid w:val="00134AE8"/>
    <w:rsid w:val="0013623C"/>
    <w:rsid w:val="001379E5"/>
    <w:rsid w:val="00157BE1"/>
    <w:rsid w:val="001600F8"/>
    <w:rsid w:val="0016208E"/>
    <w:rsid w:val="001867DC"/>
    <w:rsid w:val="001A1DC3"/>
    <w:rsid w:val="001A4258"/>
    <w:rsid w:val="001B1F90"/>
    <w:rsid w:val="001C390C"/>
    <w:rsid w:val="001D4ACB"/>
    <w:rsid w:val="001D55EA"/>
    <w:rsid w:val="001E2FC8"/>
    <w:rsid w:val="002004EF"/>
    <w:rsid w:val="00201640"/>
    <w:rsid w:val="00211249"/>
    <w:rsid w:val="002123D7"/>
    <w:rsid w:val="00251D68"/>
    <w:rsid w:val="0025587D"/>
    <w:rsid w:val="00265594"/>
    <w:rsid w:val="00267615"/>
    <w:rsid w:val="0028263D"/>
    <w:rsid w:val="00294AB3"/>
    <w:rsid w:val="0029715B"/>
    <w:rsid w:val="00297FD7"/>
    <w:rsid w:val="002A074A"/>
    <w:rsid w:val="002C6F89"/>
    <w:rsid w:val="002D32FC"/>
    <w:rsid w:val="002D529D"/>
    <w:rsid w:val="002E0529"/>
    <w:rsid w:val="002E15F5"/>
    <w:rsid w:val="002E448A"/>
    <w:rsid w:val="0030189E"/>
    <w:rsid w:val="003018F7"/>
    <w:rsid w:val="00304692"/>
    <w:rsid w:val="003100ED"/>
    <w:rsid w:val="00331CF5"/>
    <w:rsid w:val="003553B8"/>
    <w:rsid w:val="00357A28"/>
    <w:rsid w:val="00370583"/>
    <w:rsid w:val="00370D90"/>
    <w:rsid w:val="003737B5"/>
    <w:rsid w:val="0038399D"/>
    <w:rsid w:val="003862BA"/>
    <w:rsid w:val="00396E1D"/>
    <w:rsid w:val="003A135C"/>
    <w:rsid w:val="003A648F"/>
    <w:rsid w:val="003B48DC"/>
    <w:rsid w:val="003C271A"/>
    <w:rsid w:val="003D68F2"/>
    <w:rsid w:val="003E5991"/>
    <w:rsid w:val="003F0974"/>
    <w:rsid w:val="0040106B"/>
    <w:rsid w:val="004176F0"/>
    <w:rsid w:val="004223A0"/>
    <w:rsid w:val="004336BC"/>
    <w:rsid w:val="00440FE9"/>
    <w:rsid w:val="00453DD5"/>
    <w:rsid w:val="00460849"/>
    <w:rsid w:val="004815C0"/>
    <w:rsid w:val="00497D2A"/>
    <w:rsid w:val="004B405F"/>
    <w:rsid w:val="004C7567"/>
    <w:rsid w:val="004D6A40"/>
    <w:rsid w:val="004E0368"/>
    <w:rsid w:val="004E6BA4"/>
    <w:rsid w:val="005151ED"/>
    <w:rsid w:val="00540E36"/>
    <w:rsid w:val="00552978"/>
    <w:rsid w:val="00554372"/>
    <w:rsid w:val="005572D9"/>
    <w:rsid w:val="00565CFB"/>
    <w:rsid w:val="00566AE9"/>
    <w:rsid w:val="00566EBE"/>
    <w:rsid w:val="005840AD"/>
    <w:rsid w:val="00587882"/>
    <w:rsid w:val="005A1FC8"/>
    <w:rsid w:val="005B3B3D"/>
    <w:rsid w:val="005B5BB3"/>
    <w:rsid w:val="005C19B9"/>
    <w:rsid w:val="005F14A0"/>
    <w:rsid w:val="005F7640"/>
    <w:rsid w:val="00612C34"/>
    <w:rsid w:val="00613E1D"/>
    <w:rsid w:val="00616FA9"/>
    <w:rsid w:val="00617119"/>
    <w:rsid w:val="00627F48"/>
    <w:rsid w:val="00631596"/>
    <w:rsid w:val="00635E04"/>
    <w:rsid w:val="0063696A"/>
    <w:rsid w:val="0064573F"/>
    <w:rsid w:val="006527F9"/>
    <w:rsid w:val="00657E3B"/>
    <w:rsid w:val="0067568E"/>
    <w:rsid w:val="00685BF8"/>
    <w:rsid w:val="006909A2"/>
    <w:rsid w:val="006A3247"/>
    <w:rsid w:val="006C3B71"/>
    <w:rsid w:val="006E2350"/>
    <w:rsid w:val="00700662"/>
    <w:rsid w:val="007257EC"/>
    <w:rsid w:val="0072697B"/>
    <w:rsid w:val="007328E9"/>
    <w:rsid w:val="00746D7A"/>
    <w:rsid w:val="00751307"/>
    <w:rsid w:val="00764308"/>
    <w:rsid w:val="007679B2"/>
    <w:rsid w:val="007711B9"/>
    <w:rsid w:val="00776FA6"/>
    <w:rsid w:val="00785FFE"/>
    <w:rsid w:val="00794B88"/>
    <w:rsid w:val="007959FA"/>
    <w:rsid w:val="007A46FB"/>
    <w:rsid w:val="007A5F34"/>
    <w:rsid w:val="007A7BC0"/>
    <w:rsid w:val="007E4C64"/>
    <w:rsid w:val="007E64F8"/>
    <w:rsid w:val="007E71A4"/>
    <w:rsid w:val="007F3BB7"/>
    <w:rsid w:val="008012DD"/>
    <w:rsid w:val="0080179F"/>
    <w:rsid w:val="00814C84"/>
    <w:rsid w:val="0082107D"/>
    <w:rsid w:val="008447F6"/>
    <w:rsid w:val="00844EF9"/>
    <w:rsid w:val="00844F5D"/>
    <w:rsid w:val="008548DC"/>
    <w:rsid w:val="00865CFA"/>
    <w:rsid w:val="00872600"/>
    <w:rsid w:val="008841CE"/>
    <w:rsid w:val="00897AD7"/>
    <w:rsid w:val="008A1015"/>
    <w:rsid w:val="008A2589"/>
    <w:rsid w:val="008B5135"/>
    <w:rsid w:val="008C2B5D"/>
    <w:rsid w:val="008C4679"/>
    <w:rsid w:val="008C5035"/>
    <w:rsid w:val="008D074E"/>
    <w:rsid w:val="008D205C"/>
    <w:rsid w:val="008E150A"/>
    <w:rsid w:val="00904D39"/>
    <w:rsid w:val="00910408"/>
    <w:rsid w:val="00917F9F"/>
    <w:rsid w:val="009609FC"/>
    <w:rsid w:val="009715B2"/>
    <w:rsid w:val="00972622"/>
    <w:rsid w:val="00985AF5"/>
    <w:rsid w:val="009A74E1"/>
    <w:rsid w:val="009C538D"/>
    <w:rsid w:val="009C77A9"/>
    <w:rsid w:val="009D511E"/>
    <w:rsid w:val="009D5782"/>
    <w:rsid w:val="009D585B"/>
    <w:rsid w:val="009D5D48"/>
    <w:rsid w:val="009E07DB"/>
    <w:rsid w:val="009E176F"/>
    <w:rsid w:val="009E29D2"/>
    <w:rsid w:val="009E2FE9"/>
    <w:rsid w:val="009F532D"/>
    <w:rsid w:val="009F7335"/>
    <w:rsid w:val="00A01798"/>
    <w:rsid w:val="00A1173D"/>
    <w:rsid w:val="00A168C7"/>
    <w:rsid w:val="00A30C42"/>
    <w:rsid w:val="00A34E7F"/>
    <w:rsid w:val="00A46D6D"/>
    <w:rsid w:val="00A52557"/>
    <w:rsid w:val="00A573D4"/>
    <w:rsid w:val="00A75958"/>
    <w:rsid w:val="00AB544C"/>
    <w:rsid w:val="00AC3D38"/>
    <w:rsid w:val="00AC53CC"/>
    <w:rsid w:val="00AD4E68"/>
    <w:rsid w:val="00AE75B8"/>
    <w:rsid w:val="00AF0C56"/>
    <w:rsid w:val="00AF3443"/>
    <w:rsid w:val="00AF3EEE"/>
    <w:rsid w:val="00B04420"/>
    <w:rsid w:val="00B06873"/>
    <w:rsid w:val="00B116AF"/>
    <w:rsid w:val="00B3759B"/>
    <w:rsid w:val="00B42D74"/>
    <w:rsid w:val="00B54790"/>
    <w:rsid w:val="00B55629"/>
    <w:rsid w:val="00BB7D73"/>
    <w:rsid w:val="00BC4460"/>
    <w:rsid w:val="00BE4E65"/>
    <w:rsid w:val="00BF0024"/>
    <w:rsid w:val="00C16A6E"/>
    <w:rsid w:val="00C1720B"/>
    <w:rsid w:val="00C22A86"/>
    <w:rsid w:val="00C23B5A"/>
    <w:rsid w:val="00C265F6"/>
    <w:rsid w:val="00C279AE"/>
    <w:rsid w:val="00C41538"/>
    <w:rsid w:val="00C50512"/>
    <w:rsid w:val="00C543DC"/>
    <w:rsid w:val="00C93C94"/>
    <w:rsid w:val="00CA75D8"/>
    <w:rsid w:val="00CC5FEC"/>
    <w:rsid w:val="00CD1293"/>
    <w:rsid w:val="00CD56B0"/>
    <w:rsid w:val="00CE2212"/>
    <w:rsid w:val="00CE24A1"/>
    <w:rsid w:val="00CE61FA"/>
    <w:rsid w:val="00CE6E38"/>
    <w:rsid w:val="00D002E9"/>
    <w:rsid w:val="00D01888"/>
    <w:rsid w:val="00D226A7"/>
    <w:rsid w:val="00D25EEC"/>
    <w:rsid w:val="00D30769"/>
    <w:rsid w:val="00D374EB"/>
    <w:rsid w:val="00D5051F"/>
    <w:rsid w:val="00D564C5"/>
    <w:rsid w:val="00D645F8"/>
    <w:rsid w:val="00D66A50"/>
    <w:rsid w:val="00D75E29"/>
    <w:rsid w:val="00D764C4"/>
    <w:rsid w:val="00D854C8"/>
    <w:rsid w:val="00D85808"/>
    <w:rsid w:val="00D95B40"/>
    <w:rsid w:val="00DC295F"/>
    <w:rsid w:val="00DC4C17"/>
    <w:rsid w:val="00DC6C64"/>
    <w:rsid w:val="00DE2558"/>
    <w:rsid w:val="00DF4502"/>
    <w:rsid w:val="00DF4546"/>
    <w:rsid w:val="00E10333"/>
    <w:rsid w:val="00E15E80"/>
    <w:rsid w:val="00E200F5"/>
    <w:rsid w:val="00E24CE1"/>
    <w:rsid w:val="00E266E0"/>
    <w:rsid w:val="00E30E1A"/>
    <w:rsid w:val="00E35E97"/>
    <w:rsid w:val="00E36599"/>
    <w:rsid w:val="00E45DC1"/>
    <w:rsid w:val="00E512FD"/>
    <w:rsid w:val="00E5232A"/>
    <w:rsid w:val="00E52C53"/>
    <w:rsid w:val="00E75933"/>
    <w:rsid w:val="00E847B3"/>
    <w:rsid w:val="00EC61F9"/>
    <w:rsid w:val="00ED5A59"/>
    <w:rsid w:val="00F16F17"/>
    <w:rsid w:val="00F44F60"/>
    <w:rsid w:val="00FA5A92"/>
    <w:rsid w:val="00FB156D"/>
    <w:rsid w:val="00FC0F07"/>
    <w:rsid w:val="00FC3A1A"/>
    <w:rsid w:val="00FC4BEB"/>
    <w:rsid w:val="00FC65FB"/>
    <w:rsid w:val="00FD6F54"/>
    <w:rsid w:val="00FE6E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C0CAF"/>
  <w15:chartTrackingRefBased/>
  <w15:docId w15:val="{6EC45C74-04F3-4830-AA4B-209E927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B3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F3E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3EEE"/>
  </w:style>
  <w:style w:type="paragraph" w:styleId="Stopka">
    <w:name w:val="footer"/>
    <w:basedOn w:val="Normalny"/>
    <w:link w:val="StopkaZnak"/>
    <w:uiPriority w:val="99"/>
    <w:unhideWhenUsed/>
    <w:rsid w:val="00AF3E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3EEE"/>
  </w:style>
  <w:style w:type="paragraph" w:styleId="Tekstprzypisudolnego">
    <w:name w:val="footnote text"/>
    <w:basedOn w:val="Normalny"/>
    <w:link w:val="TekstprzypisudolnegoZnak"/>
    <w:uiPriority w:val="99"/>
    <w:unhideWhenUsed/>
    <w:rsid w:val="0030189E"/>
    <w:pPr>
      <w:spacing w:after="0" w:line="240" w:lineRule="auto"/>
    </w:pPr>
    <w:rPr>
      <w:rFonts w:ascii="Times New Roman" w:hAnsi="Times New Roman"/>
      <w:sz w:val="20"/>
      <w:szCs w:val="20"/>
    </w:rPr>
  </w:style>
  <w:style w:type="character" w:customStyle="1" w:styleId="TekstprzypisudolnegoZnak">
    <w:name w:val="Tekst przypisu dolnego Znak"/>
    <w:basedOn w:val="Domylnaczcionkaakapitu"/>
    <w:link w:val="Tekstprzypisudolnego"/>
    <w:uiPriority w:val="99"/>
    <w:rsid w:val="0030189E"/>
    <w:rPr>
      <w:rFonts w:ascii="Times New Roman" w:hAnsi="Times New Roman"/>
      <w:sz w:val="20"/>
      <w:szCs w:val="20"/>
    </w:rPr>
  </w:style>
  <w:style w:type="paragraph" w:styleId="Akapitzlist">
    <w:name w:val="List Paragraph"/>
    <w:basedOn w:val="Normalny"/>
    <w:uiPriority w:val="34"/>
    <w:qFormat/>
    <w:rsid w:val="00D01888"/>
    <w:pPr>
      <w:ind w:left="720"/>
      <w:contextualSpacing/>
    </w:pPr>
  </w:style>
  <w:style w:type="character" w:styleId="Odwoanieprzypisudolnego">
    <w:name w:val="footnote reference"/>
    <w:basedOn w:val="Domylnaczcionkaakapitu"/>
    <w:uiPriority w:val="99"/>
    <w:semiHidden/>
    <w:unhideWhenUsed/>
    <w:rsid w:val="00E512FD"/>
    <w:rPr>
      <w:vertAlign w:val="superscript"/>
    </w:rPr>
  </w:style>
  <w:style w:type="paragraph" w:styleId="Tekstprzypisukocowego">
    <w:name w:val="endnote text"/>
    <w:basedOn w:val="Normalny"/>
    <w:link w:val="TekstprzypisukocowegoZnak"/>
    <w:uiPriority w:val="99"/>
    <w:semiHidden/>
    <w:unhideWhenUsed/>
    <w:rsid w:val="009C77A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C77A9"/>
    <w:rPr>
      <w:sz w:val="20"/>
      <w:szCs w:val="20"/>
    </w:rPr>
  </w:style>
  <w:style w:type="character" w:styleId="Odwoanieprzypisukocowego">
    <w:name w:val="endnote reference"/>
    <w:basedOn w:val="Domylnaczcionkaakapitu"/>
    <w:uiPriority w:val="99"/>
    <w:semiHidden/>
    <w:unhideWhenUsed/>
    <w:rsid w:val="009C77A9"/>
    <w:rPr>
      <w:vertAlign w:val="superscript"/>
    </w:rPr>
  </w:style>
  <w:style w:type="paragraph" w:customStyle="1" w:styleId="DATAAKTUdatauchwalenialubwydaniaaktu">
    <w:name w:val="DATA_AKTU – data uchwalenia lub wydania aktu"/>
    <w:next w:val="TYTUAKTUprzedmiotregulacjiustawylubrozporzdzenia"/>
    <w:uiPriority w:val="6"/>
    <w:qFormat/>
    <w:rsid w:val="0063696A"/>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Normalny"/>
    <w:uiPriority w:val="6"/>
    <w:qFormat/>
    <w:rsid w:val="0063696A"/>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63696A"/>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ODNONIKtreodnonika">
    <w:name w:val="ODNOŚNIK – treść odnośnika"/>
    <w:uiPriority w:val="19"/>
    <w:qFormat/>
    <w:rsid w:val="0063696A"/>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63696A"/>
    <w:rPr>
      <w:b w:val="0"/>
      <w:i w:val="0"/>
      <w:vanish w:val="0"/>
      <w:spacing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451599">
      <w:bodyDiv w:val="1"/>
      <w:marLeft w:val="0"/>
      <w:marRight w:val="0"/>
      <w:marTop w:val="0"/>
      <w:marBottom w:val="0"/>
      <w:divBdr>
        <w:top w:val="none" w:sz="0" w:space="0" w:color="auto"/>
        <w:left w:val="none" w:sz="0" w:space="0" w:color="auto"/>
        <w:bottom w:val="none" w:sz="0" w:space="0" w:color="auto"/>
        <w:right w:val="none" w:sz="0" w:space="0" w:color="auto"/>
      </w:divBdr>
    </w:div>
    <w:div w:id="1082871237">
      <w:bodyDiv w:val="1"/>
      <w:marLeft w:val="0"/>
      <w:marRight w:val="0"/>
      <w:marTop w:val="0"/>
      <w:marBottom w:val="0"/>
      <w:divBdr>
        <w:top w:val="none" w:sz="0" w:space="0" w:color="auto"/>
        <w:left w:val="none" w:sz="0" w:space="0" w:color="auto"/>
        <w:bottom w:val="none" w:sz="0" w:space="0" w:color="auto"/>
        <w:right w:val="none" w:sz="0" w:space="0" w:color="auto"/>
      </w:divBdr>
      <w:divsChild>
        <w:div w:id="1559437353">
          <w:marLeft w:val="0"/>
          <w:marRight w:val="0"/>
          <w:marTop w:val="480"/>
          <w:marBottom w:val="240"/>
          <w:divBdr>
            <w:top w:val="none" w:sz="0" w:space="0" w:color="auto"/>
            <w:left w:val="none" w:sz="0" w:space="0" w:color="auto"/>
            <w:bottom w:val="none" w:sz="0" w:space="0" w:color="auto"/>
            <w:right w:val="none" w:sz="0" w:space="0" w:color="auto"/>
          </w:divBdr>
          <w:divsChild>
            <w:div w:id="1274895530">
              <w:marLeft w:val="0"/>
              <w:marRight w:val="0"/>
              <w:marTop w:val="0"/>
              <w:marBottom w:val="0"/>
              <w:divBdr>
                <w:top w:val="none" w:sz="0" w:space="0" w:color="auto"/>
                <w:left w:val="none" w:sz="0" w:space="0" w:color="auto"/>
                <w:bottom w:val="none" w:sz="0" w:space="0" w:color="auto"/>
                <w:right w:val="none" w:sz="0" w:space="0" w:color="auto"/>
              </w:divBdr>
            </w:div>
            <w:div w:id="2037804756">
              <w:marLeft w:val="0"/>
              <w:marRight w:val="0"/>
              <w:marTop w:val="0"/>
              <w:marBottom w:val="0"/>
              <w:divBdr>
                <w:top w:val="none" w:sz="0" w:space="0" w:color="auto"/>
                <w:left w:val="none" w:sz="0" w:space="0" w:color="auto"/>
                <w:bottom w:val="none" w:sz="0" w:space="0" w:color="auto"/>
                <w:right w:val="none" w:sz="0" w:space="0" w:color="auto"/>
              </w:divBdr>
            </w:div>
          </w:divsChild>
        </w:div>
        <w:div w:id="1643382769">
          <w:marLeft w:val="0"/>
          <w:marRight w:val="0"/>
          <w:marTop w:val="240"/>
          <w:marBottom w:val="0"/>
          <w:divBdr>
            <w:top w:val="none" w:sz="0" w:space="0" w:color="auto"/>
            <w:left w:val="none" w:sz="0" w:space="0" w:color="auto"/>
            <w:bottom w:val="none" w:sz="0" w:space="0" w:color="auto"/>
            <w:right w:val="none" w:sz="0" w:space="0" w:color="auto"/>
          </w:divBdr>
        </w:div>
      </w:divsChild>
    </w:div>
    <w:div w:id="1119640606">
      <w:bodyDiv w:val="1"/>
      <w:marLeft w:val="0"/>
      <w:marRight w:val="0"/>
      <w:marTop w:val="0"/>
      <w:marBottom w:val="0"/>
      <w:divBdr>
        <w:top w:val="none" w:sz="0" w:space="0" w:color="auto"/>
        <w:left w:val="none" w:sz="0" w:space="0" w:color="auto"/>
        <w:bottom w:val="none" w:sz="0" w:space="0" w:color="auto"/>
        <w:right w:val="none" w:sz="0" w:space="0" w:color="auto"/>
      </w:divBdr>
    </w:div>
    <w:div w:id="1337415315">
      <w:bodyDiv w:val="1"/>
      <w:marLeft w:val="0"/>
      <w:marRight w:val="0"/>
      <w:marTop w:val="0"/>
      <w:marBottom w:val="0"/>
      <w:divBdr>
        <w:top w:val="none" w:sz="0" w:space="0" w:color="auto"/>
        <w:left w:val="none" w:sz="0" w:space="0" w:color="auto"/>
        <w:bottom w:val="none" w:sz="0" w:space="0" w:color="auto"/>
        <w:right w:val="none" w:sz="0" w:space="0" w:color="auto"/>
      </w:divBdr>
    </w:div>
    <w:div w:id="1516849721">
      <w:bodyDiv w:val="1"/>
      <w:marLeft w:val="0"/>
      <w:marRight w:val="0"/>
      <w:marTop w:val="0"/>
      <w:marBottom w:val="0"/>
      <w:divBdr>
        <w:top w:val="none" w:sz="0" w:space="0" w:color="auto"/>
        <w:left w:val="none" w:sz="0" w:space="0" w:color="auto"/>
        <w:bottom w:val="none" w:sz="0" w:space="0" w:color="auto"/>
        <w:right w:val="none" w:sz="0" w:space="0" w:color="auto"/>
      </w:divBdr>
    </w:div>
    <w:div w:id="1637098337">
      <w:bodyDiv w:val="1"/>
      <w:marLeft w:val="0"/>
      <w:marRight w:val="0"/>
      <w:marTop w:val="0"/>
      <w:marBottom w:val="0"/>
      <w:divBdr>
        <w:top w:val="none" w:sz="0" w:space="0" w:color="auto"/>
        <w:left w:val="none" w:sz="0" w:space="0" w:color="auto"/>
        <w:bottom w:val="none" w:sz="0" w:space="0" w:color="auto"/>
        <w:right w:val="none" w:sz="0" w:space="0" w:color="auto"/>
      </w:divBdr>
      <w:divsChild>
        <w:div w:id="497766971">
          <w:marLeft w:val="0"/>
          <w:marRight w:val="0"/>
          <w:marTop w:val="480"/>
          <w:marBottom w:val="240"/>
          <w:divBdr>
            <w:top w:val="none" w:sz="0" w:space="0" w:color="auto"/>
            <w:left w:val="none" w:sz="0" w:space="0" w:color="auto"/>
            <w:bottom w:val="none" w:sz="0" w:space="0" w:color="auto"/>
            <w:right w:val="none" w:sz="0" w:space="0" w:color="auto"/>
          </w:divBdr>
          <w:divsChild>
            <w:div w:id="1293751203">
              <w:marLeft w:val="0"/>
              <w:marRight w:val="0"/>
              <w:marTop w:val="0"/>
              <w:marBottom w:val="0"/>
              <w:divBdr>
                <w:top w:val="none" w:sz="0" w:space="0" w:color="auto"/>
                <w:left w:val="none" w:sz="0" w:space="0" w:color="auto"/>
                <w:bottom w:val="none" w:sz="0" w:space="0" w:color="auto"/>
                <w:right w:val="none" w:sz="0" w:space="0" w:color="auto"/>
              </w:divBdr>
            </w:div>
            <w:div w:id="1355576602">
              <w:marLeft w:val="0"/>
              <w:marRight w:val="0"/>
              <w:marTop w:val="0"/>
              <w:marBottom w:val="0"/>
              <w:divBdr>
                <w:top w:val="none" w:sz="0" w:space="0" w:color="auto"/>
                <w:left w:val="none" w:sz="0" w:space="0" w:color="auto"/>
                <w:bottom w:val="none" w:sz="0" w:space="0" w:color="auto"/>
                <w:right w:val="none" w:sz="0" w:space="0" w:color="auto"/>
              </w:divBdr>
            </w:div>
          </w:divsChild>
        </w:div>
        <w:div w:id="83954086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B2919.EBB8320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1012</Words>
  <Characters>6076</Characters>
  <Application>Microsoft Office Word</Application>
  <DocSecurity>0</DocSecurity>
  <Lines>50</Lines>
  <Paragraphs>14</Paragraphs>
  <ScaleCrop>false</ScaleCrop>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Syryjczyk</dc:creator>
  <cp:keywords/>
  <dc:description/>
  <cp:lastModifiedBy>Piotr Faryna</cp:lastModifiedBy>
  <cp:revision>32</cp:revision>
  <dcterms:created xsi:type="dcterms:W3CDTF">2024-10-29T10:55:00Z</dcterms:created>
  <dcterms:modified xsi:type="dcterms:W3CDTF">2024-10-31T09:48:00Z</dcterms:modified>
</cp:coreProperties>
</file>